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keepNext w:val="0"/>
        <w:keepLines w:val="0"/>
        <w:pageBreakBefore w:val="0"/>
        <w:widowControl w:val="0"/>
        <w:kinsoku/>
        <w:wordWrap/>
        <w:overflowPunct/>
        <w:topLinePunct w:val="0"/>
        <w:autoSpaceDE/>
        <w:autoSpaceDN/>
        <w:bidi w:val="0"/>
        <w:adjustRightInd/>
        <w:snapToGrid/>
        <w:spacing w:line="640" w:lineRule="exact"/>
        <w:ind w:right="0"/>
        <w:jc w:val="center"/>
        <w:textAlignment w:val="auto"/>
        <w:rPr>
          <w:rFonts w:ascii="Times New Roman" w:eastAsia="方正小标宋_GBK" w:cs="Times New Roman" w:hAnsi="Times New Roman"/>
          <w:b w:val="0"/>
          <w:bCs w:val="0"/>
          <w:sz w:val="44"/>
          <w:szCs w:val="44"/>
        </w:rPr>
      </w:pPr>
    </w:p>
    <w:p>
      <w:pPr>
        <w:keepNext w:val="0"/>
        <w:keepLines w:val="0"/>
        <w:pageBreakBefore w:val="0"/>
        <w:widowControl w:val="0"/>
        <w:kinsoku/>
        <w:wordWrap/>
        <w:overflowPunct/>
        <w:topLinePunct w:val="0"/>
        <w:autoSpaceDE/>
        <w:autoSpaceDN/>
        <w:bidi w:val="0"/>
        <w:adjustRightInd/>
        <w:snapToGrid/>
        <w:spacing w:line="640" w:lineRule="exact"/>
        <w:ind w:right="0"/>
        <w:jc w:val="center"/>
        <w:textAlignment w:val="auto"/>
        <w:rPr>
          <w:rFonts w:ascii="Times New Roman" w:eastAsia="方正小标宋_GBK" w:cs="Times New Roman" w:hAnsi="Times New Roman"/>
          <w:b w:val="0"/>
          <w:bCs w:val="0"/>
          <w:sz w:val="44"/>
          <w:szCs w:val="44"/>
        </w:rPr>
      </w:pPr>
    </w:p>
    <w:p>
      <w:pPr>
        <w:keepNext w:val="0"/>
        <w:keepLines w:val="0"/>
        <w:pageBreakBefore w:val="0"/>
        <w:widowControl w:val="0"/>
        <w:kinsoku/>
        <w:wordWrap/>
        <w:overflowPunct/>
        <w:topLinePunct w:val="0"/>
        <w:autoSpaceDE/>
        <w:autoSpaceDN/>
        <w:bidi w:val="0"/>
        <w:adjustRightInd/>
        <w:snapToGrid/>
        <w:spacing w:line="640" w:lineRule="exact"/>
        <w:ind w:right="0"/>
        <w:jc w:val="center"/>
        <w:textAlignment w:val="auto"/>
        <w:rPr>
          <w:rFonts w:ascii="Times New Roman" w:eastAsia="方正小标宋_GBK" w:cs="Times New Roman" w:hAnsi="Times New Roman"/>
          <w:b w:val="0"/>
          <w:bCs w:val="0"/>
          <w:sz w:val="44"/>
          <w:szCs w:val="44"/>
          <w:lang w:eastAsia="zh-CN"/>
        </w:rPr>
      </w:pPr>
      <w:r>
        <w:rPr>
          <w:rFonts w:ascii="Times New Roman" w:eastAsia="方正小标宋_GBK" w:cs="Times New Roman" w:hAnsi="Times New Roman"/>
          <w:b w:val="0"/>
          <w:bCs w:val="0"/>
          <w:sz w:val="44"/>
          <w:szCs w:val="44"/>
        </w:rPr>
        <w:t>重庆</w:t>
      </w:r>
      <w:r>
        <w:rPr>
          <w:rFonts w:ascii="Times New Roman" w:eastAsia="方正小标宋_GBK" w:cs="Times New Roman" w:hAnsi="Times New Roman"/>
          <w:b w:val="0"/>
          <w:bCs w:val="0"/>
          <w:sz w:val="44"/>
          <w:szCs w:val="44"/>
          <w:lang w:eastAsia="zh-CN"/>
        </w:rPr>
        <w:t>市</w:t>
      </w:r>
      <w:r>
        <w:rPr>
          <w:rFonts w:ascii="Times New Roman" w:eastAsia="方正小标宋_GBK" w:cs="Times New Roman" w:hAnsi="Times New Roman"/>
          <w:b w:val="0"/>
          <w:bCs w:val="0"/>
          <w:sz w:val="44"/>
          <w:szCs w:val="44"/>
        </w:rPr>
        <w:t>农</w:t>
      </w:r>
      <w:r>
        <w:rPr>
          <w:rFonts w:ascii="Times New Roman" w:eastAsia="方正小标宋_GBK" w:cs="Times New Roman" w:hAnsi="Times New Roman"/>
          <w:b w:val="0"/>
          <w:bCs w:val="0"/>
          <w:sz w:val="44"/>
          <w:szCs w:val="44"/>
          <w:lang w:eastAsia="zh-CN"/>
        </w:rPr>
        <w:t>业</w:t>
      </w:r>
      <w:r>
        <w:rPr>
          <w:rFonts w:ascii="Times New Roman" w:eastAsia="方正小标宋_GBK" w:cs="Times New Roman" w:hAnsi="Times New Roman"/>
          <w:b w:val="0"/>
          <w:bCs w:val="0"/>
          <w:sz w:val="44"/>
          <w:szCs w:val="44"/>
        </w:rPr>
        <w:t>投</w:t>
      </w:r>
      <w:r>
        <w:rPr>
          <w:rFonts w:ascii="Times New Roman" w:eastAsia="方正小标宋_GBK" w:cs="Times New Roman" w:hAnsi="Times New Roman"/>
          <w:b w:val="0"/>
          <w:bCs w:val="0"/>
          <w:sz w:val="44"/>
          <w:szCs w:val="44"/>
          <w:lang w:eastAsia="zh-CN"/>
        </w:rPr>
        <w:t>资集团有限公司</w:t>
      </w:r>
    </w:p>
    <w:p>
      <w:pPr>
        <w:keepNext w:val="0"/>
        <w:keepLines w:val="0"/>
        <w:pageBreakBefore w:val="0"/>
        <w:widowControl w:val="0"/>
        <w:kinsoku/>
        <w:wordWrap/>
        <w:overflowPunct/>
        <w:topLinePunct w:val="0"/>
        <w:autoSpaceDE/>
        <w:autoSpaceDN/>
        <w:bidi w:val="0"/>
        <w:adjustRightInd/>
        <w:snapToGrid/>
        <w:spacing w:line="640" w:lineRule="exact"/>
        <w:ind w:right="0"/>
        <w:jc w:val="center"/>
        <w:textAlignment w:val="auto"/>
        <w:rPr>
          <w:rFonts w:ascii="Times New Roman" w:eastAsia="方正小标宋_GBK" w:cs="Times New Roman" w:hAnsi="Times New Roman"/>
          <w:b w:val="0"/>
          <w:bCs w:val="0"/>
          <w:sz w:val="44"/>
          <w:szCs w:val="44"/>
          <w:lang w:eastAsia="zh-CN"/>
        </w:rPr>
      </w:pPr>
      <w:r>
        <w:rPr>
          <w:rFonts w:ascii="Times New Roman" w:eastAsia="方正小标宋_GBK" w:cs="Times New Roman" w:hAnsi="Times New Roman"/>
          <w:b w:val="0"/>
          <w:bCs w:val="0"/>
          <w:sz w:val="44"/>
          <w:szCs w:val="44"/>
          <w:lang w:eastAsia="zh-CN"/>
        </w:rPr>
        <w:t>数智化管控系统——</w:t>
      </w:r>
      <w:r>
        <w:rPr>
          <w:rFonts w:ascii="Times New Roman" w:eastAsia="方正小标宋_GBK" w:cs="Times New Roman" w:hAnsi="Times New Roman"/>
          <w:b w:val="0"/>
          <w:bCs w:val="0"/>
          <w:sz w:val="44"/>
          <w:szCs w:val="44"/>
        </w:rPr>
        <w:t>供应链业财一体化</w:t>
      </w:r>
      <w:r>
        <w:rPr>
          <w:rFonts w:ascii="Times New Roman" w:eastAsia="方正小标宋_GBK" w:cs="Times New Roman" w:hAnsi="Times New Roman"/>
          <w:b w:val="0"/>
          <w:bCs w:val="0"/>
          <w:sz w:val="44"/>
          <w:szCs w:val="44"/>
          <w:lang w:eastAsia="zh-CN"/>
        </w:rPr>
        <w:t>系统</w:t>
      </w:r>
    </w:p>
    <w:p>
      <w:pPr>
        <w:keepNext w:val="0"/>
        <w:keepLines w:val="0"/>
        <w:pageBreakBefore w:val="0"/>
        <w:widowControl w:val="0"/>
        <w:kinsoku/>
        <w:wordWrap/>
        <w:overflowPunct/>
        <w:topLinePunct w:val="0"/>
        <w:autoSpaceDE/>
        <w:autoSpaceDN/>
        <w:adjustRightInd/>
        <w:snapToGrid/>
        <w:spacing w:line="640" w:lineRule="exact"/>
        <w:jc w:val="center"/>
        <w:rPr>
          <w:rFonts w:ascii="Times New Roman" w:eastAsia="方正小标宋_GBK" w:cs="Times New Roman" w:hAnsi="Times New Roman"/>
          <w:b w:val="0"/>
          <w:bCs w:val="0"/>
          <w:sz w:val="44"/>
          <w:szCs w:val="44"/>
        </w:rPr>
      </w:pPr>
      <w:r>
        <w:rPr>
          <w:rFonts w:ascii="Times New Roman" w:eastAsia="方正小标宋_GBK" w:cs="Times New Roman" w:hAnsi="Times New Roman"/>
          <w:b w:val="0"/>
          <w:bCs w:val="0"/>
          <w:sz w:val="44"/>
          <w:szCs w:val="44"/>
        </w:rPr>
        <w:t>项目建设方案</w:t>
      </w: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400"/>
        <w:jc w:val="left"/>
        <w:textAlignment w:val="auto"/>
        <w:rPr>
          <w:rFonts w:ascii="Times New Roman" w:cs="Times New Roman" w:hAnsi="Times New Roman"/>
          <w:highlight w:val="yellow"/>
        </w:rPr>
      </w:pP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楷体_GBK" w:cs="Times New Roman" w:hAnsi="Times New Roman"/>
          <w:sz w:val="32"/>
          <w:szCs w:val="32"/>
          <w:lang w:val="en-US" w:eastAsia="zh-CN"/>
        </w:rPr>
      </w:pPr>
      <w:r>
        <w:rPr>
          <w:rFonts w:ascii="Times New Roman" w:eastAsia="方正楷体_GBK" w:cs="Times New Roman" w:hAnsi="Times New Roman"/>
          <w:sz w:val="32"/>
          <w:szCs w:val="32"/>
          <w:lang w:val="en-US" w:eastAsia="zh-CN"/>
        </w:rPr>
        <w:t>重庆市农业投资集团有限公司</w:t>
      </w: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楷体_GBK" w:cs="Times New Roman" w:hAnsi="Times New Roman"/>
          <w:sz w:val="32"/>
          <w:szCs w:val="32"/>
        </w:rPr>
      </w:pPr>
      <w:r>
        <w:rPr>
          <w:rFonts w:ascii="Times New Roman" w:eastAsia="方正楷体_GBK" w:cs="Times New Roman" w:hAnsi="Times New Roman"/>
          <w:sz w:val="32"/>
          <w:szCs w:val="32"/>
        </w:rPr>
        <w:t>2026年</w:t>
      </w:r>
      <w:r>
        <w:rPr>
          <w:rFonts w:ascii="Times New Roman" w:eastAsia="方正楷体_GBK" w:cs="Times New Roman" w:hAnsi="Times New Roman"/>
          <w:sz w:val="32"/>
          <w:szCs w:val="32"/>
          <w:lang w:val="en-US" w:eastAsia="zh-CN"/>
        </w:rPr>
        <w:t>8</w:t>
      </w:r>
      <w:r>
        <w:rPr>
          <w:rFonts w:ascii="Times New Roman" w:eastAsia="方正楷体_GBK" w:cs="Times New Roman" w:hAnsi="Times New Roman"/>
          <w:sz w:val="32"/>
          <w:szCs w:val="32"/>
        </w:rPr>
        <w:t>月</w:t>
      </w:r>
    </w:p>
    <w:p>
      <w:pPr>
        <w:pStyle w:val="43"/>
        <w:keepNext w:val="0"/>
        <w:keepLines w:val="0"/>
        <w:pageBreakBefore w:val="0"/>
        <w:widowControl w:val="0"/>
        <w:kinsoku/>
        <w:wordWrap/>
        <w:overflowPunct/>
        <w:topLinePunct w:val="0"/>
        <w:autoSpaceDE/>
        <w:autoSpaceDN/>
        <w:bidi w:val="0"/>
        <w:adjustRightInd/>
        <w:snapToGrid/>
        <w:spacing w:line="600" w:lineRule="exact"/>
        <w:ind w:right="0" w:firstLineChars="200" w:firstLine="640"/>
        <w:jc w:val="left"/>
        <w:textAlignment w:val="auto"/>
        <w:rPr>
          <w:rFonts w:ascii="Times New Roman" w:eastAsia="方正黑体_GBK" w:cs="Times New Roman" w:hAnsi="Times New Roman"/>
          <w:b w:val="0"/>
          <w:bCs/>
          <w:sz w:val="32"/>
          <w:szCs w:val="32"/>
        </w:rPr>
      </w:pPr>
      <w:bookmarkStart w:id="0" w:name="_Toc235194851"/>
      <w:r>
        <w:rPr>
          <w:rFonts w:ascii="Times New Roman" w:eastAsia="方正黑体_GBK" w:cs="Times New Roman" w:hAnsi="Times New Roman"/>
          <w:b w:val="0"/>
          <w:bCs/>
          <w:sz w:val="32"/>
          <w:szCs w:val="32"/>
        </w:rPr>
        <w:t>一、项目建设背景</w:t>
      </w:r>
      <w:bookmarkEnd w:id="0"/>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今年以来，国务院国资委以2026年1号文出台关于推动中央企业加快数智化转型升级的指导意见，要求各央企以建设全域数字化资源管理平台（简称：DRP）为依托，高质量推动数智化转型。目前，市国资委就市属国企建设DRP相关事宜正征求意见中。意见要求：到2027年底，所有市属国企财务级数据中台和常态化数据治理运营机制全面建成；到2028年底，所有市属国企实现财务、投资、法务、合同、人力等管理系统全面集成，企业级数据中台基本建成，业财融合智慧管理模型深度应用；到2029年底，具备条件的市属国企进一步建成覆盖招标、生产、销售、设计、工程等经营管理全域的DRP系统。</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2024年底，农投集团与重庆粮食集团战略性重组后，新农投集团业务版图横跨第一、二、三产业，业态差异大，管理幅度显著扩大，跨板块的业务协同和数据统一需求迫在眉睫。</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过去几年，农投集团已初步建成覆盖集团总部的财务核算、司库管理等管控系统。但问题在于，这些系统主要是集团管控系统，与企业相关的采购、销售、库存、成本等供应链业务过程数据，在各企业之间缺乏统一标准和系统支撑。结果是：业财融合不够，集团及企业管理决策缺乏数据支撑。</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与此同时，</w:t>
      </w:r>
      <w:r>
        <w:rPr>
          <w:rFonts w:ascii="Times New Roman" w:eastAsia="方正仿宋_GBK" w:cs="Times New Roman" w:hAnsi="Times New Roman"/>
          <w:sz w:val="32"/>
          <w:szCs w:val="32"/>
          <w:lang w:eastAsia="zh-CN"/>
        </w:rPr>
        <w:t>所</w:t>
      </w:r>
      <w:r>
        <w:rPr>
          <w:rFonts w:ascii="Times New Roman" w:eastAsia="方正仿宋_GBK" w:cs="Times New Roman" w:hAnsi="Times New Roman"/>
          <w:sz w:val="32"/>
          <w:szCs w:val="32"/>
        </w:rPr>
        <w:t>属企业自身也有强烈的业务线上化需求：采购审批靠纸质流转、库存数据靠手工报表、成本核算粗放——信息化短板已经直接影响日常运营效率和管理精细度。</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因此，需要集团统一建设供应链业财一体化系统，以节省建设成本，提高工作效率，打通业财数据链路，实现从业务发生到财务核算的全过程穿透式管理。</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黑体_GBK" w:cs="Times New Roman" w:hAnsi="Times New Roman"/>
          <w:b w:val="0"/>
          <w:bCs/>
          <w:sz w:val="32"/>
          <w:szCs w:val="32"/>
        </w:rPr>
      </w:pPr>
      <w:r>
        <w:rPr>
          <w:rFonts w:ascii="Times New Roman" w:eastAsia="方正黑体_GBK" w:cs="Times New Roman" w:hAnsi="Times New Roman"/>
          <w:b w:val="0"/>
          <w:bCs/>
          <w:sz w:val="32"/>
          <w:szCs w:val="32"/>
        </w:rPr>
        <w:t>二、现状分析</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rPr>
      </w:pPr>
      <w:r>
        <w:rPr>
          <w:rFonts w:ascii="Times New Roman" w:eastAsia="方正楷体_GBK" w:cs="Times New Roman" w:hAnsi="Times New Roman"/>
          <w:b w:val="0"/>
          <w:bCs/>
          <w:sz w:val="32"/>
          <w:szCs w:val="32"/>
        </w:rPr>
        <w:t>（一）业务现状概览</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农投集团经战略性重组后，旗下涵盖11个业务板块，业务横跨第一产业（粮储、种植、养殖、牧场）、第二产业（乳品生产、生猪屠宰、粮油加工）到第三产业（物业管理、资产租赁、零售），业态差异大，管理幅度显著扩大。</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集团各板块业务类型分布如下：涉及商品/实物物资的进销存管理（采购→库存→生产→仓储→销售）</w:t>
      </w:r>
      <w:r>
        <w:rPr>
          <w:rFonts w:ascii="Times New Roman" w:eastAsia="方正仿宋_GBK" w:cs="Times New Roman" w:hAnsi="Times New Roman"/>
          <w:sz w:val="32"/>
          <w:szCs w:val="32"/>
          <w:lang w:eastAsia="zh-CN"/>
        </w:rPr>
        <w:t>占比约</w:t>
      </w:r>
      <w:r>
        <w:rPr>
          <w:rFonts w:ascii="Times New Roman" w:eastAsia="方正仿宋_GBK" w:cs="Times New Roman" w:hAnsi="Times New Roman"/>
          <w:sz w:val="32"/>
          <w:szCs w:val="32"/>
        </w:rPr>
        <w:t>72%</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highlight w:val="none"/>
        </w:rPr>
        <w:t>养殖业务占比约13%</w:t>
      </w:r>
      <w:r>
        <w:rPr>
          <w:rFonts w:ascii="Times New Roman" w:eastAsia="方正仿宋_GBK" w:cs="Times New Roman" w:hAnsi="Times New Roman"/>
          <w:sz w:val="32"/>
          <w:szCs w:val="32"/>
          <w:lang w:eastAsia="zh-CN"/>
          <w:highlight w:val="none"/>
        </w:rPr>
        <w:t>，</w:t>
      </w:r>
      <w:r>
        <w:rPr>
          <w:rFonts w:ascii="Times New Roman" w:eastAsia="方正仿宋_GBK" w:cs="Times New Roman" w:hAnsi="Times New Roman"/>
          <w:sz w:val="32"/>
          <w:szCs w:val="32"/>
          <w:highlight w:val="none"/>
        </w:rPr>
        <w:t>批发零售业务占比约13%</w:t>
      </w:r>
      <w:r>
        <w:rPr>
          <w:rFonts w:ascii="Times New Roman" w:eastAsia="方正仿宋_GBK" w:cs="Times New Roman" w:hAnsi="Times New Roman"/>
          <w:sz w:val="32"/>
          <w:szCs w:val="32"/>
          <w:lang w:eastAsia="zh-CN"/>
          <w:highlight w:val="none"/>
        </w:rPr>
        <w:t>，</w:t>
      </w:r>
      <w:r>
        <w:rPr>
          <w:rFonts w:ascii="Times New Roman" w:eastAsia="方正仿宋_GBK" w:cs="Times New Roman" w:hAnsi="Times New Roman"/>
          <w:sz w:val="32"/>
          <w:szCs w:val="32"/>
          <w:highlight w:val="none"/>
        </w:rPr>
        <w:t>资产租赁业务占比约18%</w:t>
      </w:r>
      <w:r>
        <w:rPr>
          <w:rFonts w:ascii="Times New Roman" w:eastAsia="方正仿宋_GBK" w:cs="Times New Roman" w:hAnsi="Times New Roman"/>
          <w:sz w:val="32"/>
          <w:szCs w:val="32"/>
          <w:lang w:eastAsia="zh-CN"/>
          <w:highlight w:val="none"/>
        </w:rPr>
        <w:t>，</w:t>
      </w:r>
      <w:r>
        <w:rPr>
          <w:rFonts w:ascii="Times New Roman" w:eastAsia="方正仿宋_GBK" w:cs="Times New Roman" w:hAnsi="Times New Roman"/>
          <w:sz w:val="32"/>
          <w:szCs w:val="32"/>
          <w:highlight w:val="none"/>
        </w:rPr>
        <w:t>资金运营占比约3%。</w:t>
      </w:r>
      <w:r>
        <w:rPr>
          <w:rFonts w:ascii="Times New Roman" w:eastAsia="方正仿宋_GBK" w:cs="Times New Roman" w:hAnsi="Times New Roman"/>
          <w:sz w:val="32"/>
          <w:szCs w:val="32"/>
        </w:rPr>
        <w:t>部分看似非商品销售类的业务（如物业服务、生猪养殖、水产养殖等），其业务过程中同样涉及耗材、备品备件的采购、入库、领用等进销存管理需求。</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rPr>
      </w:pPr>
      <w:r>
        <w:rPr>
          <w:rFonts w:ascii="Times New Roman" w:eastAsia="方正楷体_GBK" w:cs="Times New Roman" w:hAnsi="Times New Roman"/>
          <w:b w:val="0"/>
          <w:bCs/>
          <w:sz w:val="32"/>
          <w:szCs w:val="32"/>
        </w:rPr>
        <w:t>（二）核心痛点</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sz w:val="32"/>
          <w:szCs w:val="32"/>
        </w:rPr>
      </w:pPr>
      <w:r>
        <w:rPr>
          <w:rFonts w:ascii="Times New Roman" w:eastAsia="方正仿宋_GBK" w:cs="Times New Roman" w:hAnsi="Times New Roman"/>
          <w:b/>
          <w:sz w:val="32"/>
          <w:szCs w:val="32"/>
          <w:lang w:val="en-US" w:eastAsia="zh-CN"/>
        </w:rPr>
        <w:t>1.</w:t>
      </w:r>
      <w:r>
        <w:rPr>
          <w:rFonts w:ascii="Times New Roman" w:eastAsia="方正仿宋_GBK" w:cs="Times New Roman" w:hAnsi="Times New Roman"/>
          <w:b/>
          <w:sz w:val="32"/>
          <w:szCs w:val="32"/>
        </w:rPr>
        <w:t>大量手工处理，业务在线化程度低</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各企业在业务运营过程中，大量环节仍依赖线下手工处理：销售端到端流程中，收款认领和收入确认为手工操作；供应商准入审查和绩效评价依赖手工管理；运营计划仍使用Excel处理，通过邮件方式获取下游预测数据。财务人员在报表输出和核算分析时，需从系统导出数据后大量手工加工和并表，费时费力，报表时效性低。</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sz w:val="32"/>
          <w:szCs w:val="32"/>
          <w:lang w:eastAsia="zh-CN"/>
        </w:rPr>
      </w:pPr>
      <w:r>
        <w:rPr>
          <w:rFonts w:ascii="Times New Roman" w:eastAsia="方正仿宋_GBK" w:cs="Times New Roman" w:hAnsi="Times New Roman"/>
          <w:b/>
          <w:sz w:val="32"/>
          <w:szCs w:val="32"/>
          <w:lang w:val="en-US" w:eastAsia="zh-CN"/>
        </w:rPr>
        <w:t>2.</w:t>
      </w:r>
      <w:r>
        <w:rPr>
          <w:rFonts w:ascii="Times New Roman" w:eastAsia="方正仿宋_GBK" w:cs="Times New Roman" w:hAnsi="Times New Roman"/>
          <w:b/>
          <w:sz w:val="32"/>
          <w:szCs w:val="32"/>
        </w:rPr>
        <w:t>财务合规问题突出，管控效率</w:t>
      </w:r>
      <w:r>
        <w:rPr>
          <w:rFonts w:ascii="Times New Roman" w:eastAsia="方正仿宋_GBK" w:cs="Times New Roman" w:hAnsi="Times New Roman"/>
          <w:b/>
          <w:sz w:val="32"/>
          <w:szCs w:val="32"/>
          <w:lang w:eastAsia="zh-CN"/>
        </w:rPr>
        <w:t>低、</w:t>
      </w:r>
      <w:r>
        <w:rPr>
          <w:rFonts w:ascii="Times New Roman" w:eastAsia="方正仿宋_GBK" w:cs="Times New Roman" w:hAnsi="Times New Roman"/>
          <w:b/>
          <w:sz w:val="32"/>
          <w:szCs w:val="32"/>
        </w:rPr>
        <w:t>效果</w:t>
      </w:r>
      <w:r>
        <w:rPr>
          <w:rFonts w:ascii="Times New Roman" w:eastAsia="方正仿宋_GBK" w:cs="Times New Roman" w:hAnsi="Times New Roman"/>
          <w:b/>
          <w:sz w:val="32"/>
          <w:szCs w:val="32"/>
          <w:lang w:eastAsia="zh-CN"/>
        </w:rPr>
        <w:t>差</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在业务合规管控方面，缺乏完善的管控体系和规则制度，或现有规则制度设计不合理，导致效率与合规之间形成矛盾。即便存在规则制度，也主要以事后审批或分析方式进行监管和惩罚，缺乏事中预警和自动控制能力，管控效率低、效果差。</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sz w:val="32"/>
          <w:szCs w:val="32"/>
          <w:lang w:eastAsia="zh-CN"/>
        </w:rPr>
      </w:pPr>
      <w:r>
        <w:rPr>
          <w:rFonts w:ascii="Times New Roman" w:eastAsia="方正仿宋_GBK" w:cs="Times New Roman" w:hAnsi="Times New Roman"/>
          <w:b/>
          <w:sz w:val="32"/>
          <w:szCs w:val="32"/>
          <w:lang w:val="en-US" w:eastAsia="zh-CN"/>
        </w:rPr>
        <w:t>3.</w:t>
      </w:r>
      <w:r>
        <w:rPr>
          <w:rFonts w:ascii="Times New Roman" w:eastAsia="方正仿宋_GBK" w:cs="Times New Roman" w:hAnsi="Times New Roman"/>
          <w:b/>
          <w:sz w:val="32"/>
          <w:szCs w:val="32"/>
        </w:rPr>
        <w:t>核算分析粗放，颗粒度不</w:t>
      </w:r>
      <w:r>
        <w:rPr>
          <w:rFonts w:ascii="Times New Roman" w:eastAsia="方正仿宋_GBK" w:cs="Times New Roman" w:hAnsi="Times New Roman"/>
          <w:b/>
          <w:sz w:val="32"/>
          <w:szCs w:val="32"/>
          <w:lang w:eastAsia="zh-CN"/>
        </w:rPr>
        <w:t>细</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报表层面仍停留在财务会计视角，管理报表能力薄弱。由于业务侧精细化管理程度低，成本核算多以“平均分摊”方式进行，料、工、费归集分摊方式粗放，企业无法针对不同产品、不同批次、不同工厂的生产成本进行精准分析定位问题并改善。</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bCs w:val="0"/>
          <w:sz w:val="32"/>
          <w:szCs w:val="32"/>
        </w:rPr>
      </w:pPr>
      <w:r>
        <w:rPr>
          <w:rFonts w:ascii="Times New Roman" w:eastAsia="方正仿宋_GBK" w:cs="Times New Roman" w:hAnsi="Times New Roman"/>
          <w:b/>
          <w:bCs w:val="0"/>
          <w:sz w:val="32"/>
          <w:szCs w:val="32"/>
          <w:lang w:val="en-US" w:eastAsia="zh-CN"/>
        </w:rPr>
        <w:t>4.</w:t>
      </w:r>
      <w:r>
        <w:rPr>
          <w:rFonts w:ascii="Times New Roman" w:eastAsia="方正仿宋_GBK" w:cs="Times New Roman" w:hAnsi="Times New Roman"/>
          <w:b/>
          <w:bCs w:val="0"/>
          <w:sz w:val="32"/>
          <w:szCs w:val="32"/>
        </w:rPr>
        <w:t>系统集成度低，数据孤岛严重</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各系统、各模块数据相互孤立，没有实现全域</w:t>
      </w:r>
      <w:r>
        <w:rPr>
          <w:rFonts w:ascii="Times New Roman" w:eastAsia="方正仿宋_GBK" w:cs="Times New Roman" w:hAnsi="Times New Roman"/>
          <w:sz w:val="32"/>
          <w:szCs w:val="32"/>
          <w:lang w:eastAsia="zh-CN"/>
        </w:rPr>
        <w:t>贯</w:t>
      </w:r>
      <w:r>
        <w:rPr>
          <w:rFonts w:ascii="Times New Roman" w:eastAsia="方正仿宋_GBK" w:cs="Times New Roman" w:hAnsi="Times New Roman"/>
          <w:sz w:val="32"/>
          <w:szCs w:val="32"/>
        </w:rPr>
        <w:t>通。数据口径各异，流程在系统中存在断点。业务人员需在多个系统重复录入数据，或通过手工方式线下协同，严重影响工作效率和数据一致性。</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rPr>
      </w:pPr>
      <w:r>
        <w:rPr>
          <w:rFonts w:ascii="Times New Roman" w:eastAsia="方正楷体_GBK" w:cs="Times New Roman" w:hAnsi="Times New Roman"/>
          <w:b w:val="0"/>
          <w:bCs/>
          <w:sz w:val="32"/>
          <w:szCs w:val="32"/>
        </w:rPr>
        <w:t>（三）IT系统现状</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各板块信息化水平参差不齐，整体呈现“两极分化”态势：</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系统建设情况：中垦牧（金蝶星瀚）、天友（用友BIP）、凯欣（用友BIP）、农投肉品（用友U8）、健康产业（用友BIP）、农投良品（金蝶云星空）、巫山粮食（用友BIP）已部署业务系统，但系统功能覆盖度和完整度差异较大；三峡渔业、农垦发展</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农投资产、华牧农业基本处于无业务系统的状态。</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业财融合度评估：覆盖核心业务场景且业财基本打通的仅中垦牧和天友部分板块；健康产业、农投良品、巫山粮食为“从进销存单据到部分凭证生成”，但精细度和自动化程度不足；农投肉品仅饲料、兽药板块实现部分凭证自动生成，养殖和屠宰未打通；三峡渔业、农垦发展、农投资产、华牧农业完全无业务系统，业务数据全靠手工记录。</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关键IT差距：大部分企业存在采购审批、供应商对账、合同管理等环节依赖纸质单据和微信群沟通，缺失关键业财数据录入，端到端业务流程数据断点较多，无法实现自动协同。</w:t>
      </w:r>
      <w:bookmarkStart w:id="1" w:name="_Toc235194852"/>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黑体_GBK" w:cs="Times New Roman" w:hAnsi="Times New Roman"/>
          <w:b w:val="0"/>
          <w:bCs/>
          <w:sz w:val="32"/>
          <w:szCs w:val="32"/>
        </w:rPr>
      </w:pPr>
      <w:r>
        <w:rPr>
          <w:rFonts w:ascii="Times New Roman" w:eastAsia="方正黑体_GBK" w:cs="Times New Roman" w:hAnsi="Times New Roman"/>
          <w:b w:val="0"/>
          <w:bCs/>
          <w:sz w:val="32"/>
          <w:szCs w:val="32"/>
        </w:rPr>
        <w:t>三、项目建设范围</w:t>
      </w:r>
      <w:bookmarkEnd w:id="1"/>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kern w:val="0"/>
          <w:sz w:val="32"/>
          <w:szCs w:val="32"/>
          <w:lang w:val="en-US" w:eastAsia="zh-CN" w:bidi="ar-SA"/>
        </w:rPr>
      </w:pPr>
      <w:r>
        <w:rPr>
          <w:rFonts w:ascii="Times New Roman" w:eastAsia="方正仿宋_GBK" w:cs="Times New Roman" w:hAnsi="Times New Roman"/>
          <w:kern w:val="0"/>
          <w:sz w:val="32"/>
          <w:szCs w:val="32"/>
          <w:lang w:val="en-US" w:eastAsia="zh-CN" w:bidi="ar-SA"/>
        </w:rPr>
        <w:t>充分考虑集团数字化整体规划，所属各单位信息化现状，业务差异、未来公司上市规划等因素进行规划分类，根据分类进行项目建设范围初步规划。</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kern w:val="0"/>
          <w:sz w:val="32"/>
          <w:szCs w:val="32"/>
          <w:lang w:val="en-US" w:eastAsia="zh-CN" w:bidi="ar-SA"/>
        </w:rPr>
      </w:pPr>
      <w:r>
        <w:rPr>
          <w:rFonts w:ascii="Times New Roman" w:eastAsia="方正仿宋_GBK" w:cs="Times New Roman" w:hAnsi="Times New Roman"/>
          <w:kern w:val="0"/>
          <w:sz w:val="32"/>
          <w:szCs w:val="32"/>
          <w:lang w:val="en-US" w:eastAsia="zh-CN" w:bidi="ar-SA"/>
        </w:rPr>
        <w:t>拟上市企业：信息化成熟，已经有或正在建设供应链系统并形成业财一体化的单位，同时确保拟上市公司的独立性要求，包括：乳业板块（中垦牧）、凯欣。</w:t>
      </w:r>
    </w:p>
    <w:p>
      <w:pPr>
        <w:pStyle w:val="43"/>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楷体_GBK" w:cs="Times New Roman" w:hAnsi="Times New Roman"/>
          <w:b w:val="0"/>
          <w:bCs/>
          <w:sz w:val="32"/>
          <w:szCs w:val="32"/>
          <w:lang w:val="en-US" w:eastAsia="zh-CN"/>
        </w:rPr>
      </w:pPr>
      <w:r>
        <w:rPr>
          <w:rFonts w:ascii="Times New Roman" w:eastAsia="方正仿宋_GBK" w:cs="Times New Roman" w:hAnsi="Times New Roman"/>
          <w:kern w:val="0"/>
          <w:sz w:val="32"/>
          <w:szCs w:val="32"/>
          <w:lang w:val="en-US" w:eastAsia="zh-CN" w:bidi="ar-SA"/>
        </w:rPr>
        <w:t>一般企业：已有部分系统，部分业财一体化的单位或完全没有供应链系统，信息化薄弱的单位，包括：农投肉品、三峡渔业、健康产业、农投良品、巫山粮食、农垦发展、农投资产、华牧农业。</w:t>
      </w:r>
    </w:p>
    <w:p>
      <w:pPr>
        <w:pStyle w:val="43"/>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b w:val="0"/>
          <w:kern w:val="0"/>
          <w:sz w:val="32"/>
          <w:szCs w:val="32"/>
          <w:lang w:val="en-US" w:eastAsia="zh-CN" w:bidi="ar-SA"/>
        </w:rPr>
      </w:pPr>
      <w:r>
        <w:rPr>
          <w:rFonts w:ascii="Times New Roman" w:eastAsia="方正仿宋_GBK" w:cs="Times New Roman" w:hAnsi="Times New Roman"/>
          <w:b w:val="0"/>
          <w:kern w:val="0"/>
          <w:sz w:val="32"/>
          <w:szCs w:val="32"/>
          <w:lang w:val="en-US" w:eastAsia="zh-CN" w:bidi="ar-SA"/>
        </w:rPr>
        <w:t>本次项目建设范围包括集团及一般企业（</w:t>
      </w:r>
      <w:r>
        <w:rPr>
          <w:rFonts w:ascii="Times New Roman" w:eastAsia="方正仿宋_GBK" w:cs="Times New Roman" w:hAnsi="Times New Roman"/>
          <w:kern w:val="0"/>
          <w:sz w:val="32"/>
          <w:szCs w:val="32"/>
          <w:lang w:val="en-US" w:eastAsia="zh-CN" w:bidi="ar-SA"/>
        </w:rPr>
        <w:t>农投肉品、三峡渔业、健康产业、农投良品、巫山粮食、农垦发展、农投资产、华牧农业）</w:t>
      </w:r>
      <w:r>
        <w:rPr>
          <w:rFonts w:ascii="Times New Roman" w:eastAsia="方正仿宋_GBK" w:cs="Times New Roman" w:hAnsi="Times New Roman"/>
          <w:b w:val="0"/>
          <w:kern w:val="0"/>
          <w:sz w:val="32"/>
          <w:szCs w:val="32"/>
          <w:lang w:val="en-US" w:eastAsia="zh-CN" w:bidi="ar-SA"/>
        </w:rPr>
        <w:t>。</w:t>
      </w:r>
      <w:bookmarkStart w:id="2" w:name="_Toc235194854"/>
    </w:p>
    <w:p>
      <w:pPr>
        <w:pStyle w:val="1"/>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黑体_GBK" w:cs="Times New Roman" w:hAnsi="Times New Roman"/>
          <w:b w:val="0"/>
          <w:bCs/>
          <w:sz w:val="32"/>
          <w:szCs w:val="32"/>
          <w:lang w:val="en-US" w:eastAsia="zh-CN"/>
        </w:rPr>
      </w:pPr>
      <w:bookmarkStart w:id="3" w:name="_Toc235194855"/>
      <w:bookmarkEnd w:id="2"/>
      <w:r>
        <w:rPr>
          <w:rFonts w:ascii="Times New Roman" w:eastAsia="方正黑体_GBK" w:cs="Times New Roman" w:hAnsi="Times New Roman"/>
          <w:b w:val="0"/>
          <w:bCs/>
          <w:sz w:val="32"/>
          <w:szCs w:val="32"/>
          <w:lang w:val="en-US" w:eastAsia="zh-CN"/>
        </w:rPr>
        <w:t>四、项目建设目标</w:t>
      </w:r>
      <w:bookmarkEnd w:id="3"/>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val="0"/>
          <w:kern w:val="0"/>
          <w:sz w:val="32"/>
          <w:szCs w:val="32"/>
          <w:lang w:val="en-US" w:eastAsia="zh-CN" w:bidi="ar-SA"/>
        </w:rPr>
      </w:pPr>
      <w:r>
        <w:rPr>
          <w:rFonts w:ascii="Times New Roman" w:eastAsia="方正仿宋_GBK" w:cs="Times New Roman" w:hAnsi="Times New Roman"/>
          <w:b w:val="0"/>
          <w:kern w:val="0"/>
          <w:sz w:val="32"/>
          <w:szCs w:val="32"/>
          <w:lang w:val="en-US" w:eastAsia="zh-CN" w:bidi="ar-SA"/>
        </w:rPr>
        <w:t>搭建农投集团统一的供应链业财一体化</w:t>
      </w:r>
      <w:r>
        <w:rPr>
          <w:rFonts w:ascii="Times New Roman" w:eastAsia="方正仿宋_GBK" w:cs="Times New Roman" w:hAnsi="Times New Roman"/>
          <w:b w:val="0"/>
          <w:kern w:val="0"/>
          <w:sz w:val="32"/>
          <w:szCs w:val="32"/>
          <w:lang w:val="en-US" w:eastAsia="zh-CN" w:bidi="ar-SA"/>
        </w:rPr>
        <w:t>系统</w:t>
      </w:r>
      <w:r>
        <w:rPr>
          <w:rFonts w:ascii="Times New Roman" w:eastAsia="方正仿宋_GBK" w:cs="Times New Roman" w:hAnsi="Times New Roman"/>
          <w:b w:val="0"/>
          <w:kern w:val="0"/>
          <w:sz w:val="32"/>
          <w:szCs w:val="32"/>
          <w:lang w:val="en-US" w:eastAsia="zh-CN" w:bidi="ar-SA"/>
        </w:rPr>
        <w:t>（即</w:t>
      </w:r>
      <w:r>
        <w:rPr>
          <w:rFonts w:ascii="Times New Roman" w:eastAsia="方正仿宋_GBK" w:cs="Times New Roman" w:hAnsi="Times New Roman"/>
          <w:b w:val="0"/>
          <w:kern w:val="0"/>
          <w:sz w:val="32"/>
          <w:szCs w:val="32"/>
          <w:lang w:val="en-US" w:eastAsia="zh-CN" w:bidi="ar-SA"/>
        </w:rPr>
        <w:t>“</w:t>
      </w:r>
      <w:r>
        <w:rPr>
          <w:rFonts w:ascii="Times New Roman" w:eastAsia="方正仿宋_GBK" w:cs="Times New Roman" w:hAnsi="Times New Roman"/>
          <w:b w:val="0"/>
          <w:kern w:val="0"/>
          <w:sz w:val="32"/>
          <w:szCs w:val="32"/>
          <w:lang w:val="en-US" w:eastAsia="zh-CN" w:bidi="ar-SA"/>
        </w:rPr>
        <w:t>一体”），覆盖8家一般企业的采购、销售、库存、财务核算全业务链条。通过建立标准、规范业务、整合数据，实现业财数据可穿透、可追溯，支撑集团管理决策，提升管理效能。</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val="0"/>
          <w:kern w:val="0"/>
          <w:sz w:val="32"/>
          <w:szCs w:val="32"/>
          <w:lang w:val="en-US" w:eastAsia="zh-CN" w:bidi="ar-SA"/>
        </w:rPr>
      </w:pPr>
      <w:r>
        <w:rPr>
          <w:rFonts w:ascii="Times New Roman" w:eastAsia="方正仿宋_GBK" w:cs="Times New Roman" w:hAnsi="Times New Roman"/>
          <w:b w:val="0"/>
          <w:kern w:val="0"/>
          <w:sz w:val="32"/>
          <w:szCs w:val="32"/>
          <w:lang w:val="en-US" w:eastAsia="zh-CN" w:bidi="ar-SA"/>
        </w:rPr>
        <w:t>整体建设目标定位于</w:t>
      </w:r>
      <w:r>
        <w:rPr>
          <w:rFonts w:ascii="Times New Roman" w:eastAsia="方正仿宋_GBK" w:cs="Times New Roman" w:hAnsi="Times New Roman"/>
          <w:b w:val="0"/>
          <w:kern w:val="0"/>
          <w:sz w:val="32"/>
          <w:szCs w:val="32"/>
          <w:lang w:val="en-US" w:eastAsia="zh-CN" w:bidi="ar-SA"/>
        </w:rPr>
        <w:t>“</w:t>
      </w:r>
      <w:r>
        <w:rPr>
          <w:rFonts w:ascii="Times New Roman" w:eastAsia="方正仿宋_GBK" w:cs="Times New Roman" w:hAnsi="Times New Roman"/>
          <w:b w:val="0"/>
          <w:kern w:val="0"/>
          <w:sz w:val="32"/>
          <w:szCs w:val="32"/>
          <w:lang w:val="en-US" w:eastAsia="zh-CN" w:bidi="ar-SA"/>
        </w:rPr>
        <w:t>一体两侧”的模式：</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val="0"/>
          <w:kern w:val="0"/>
          <w:sz w:val="32"/>
          <w:szCs w:val="32"/>
          <w:lang w:val="en-US" w:eastAsia="zh-CN" w:bidi="ar-SA"/>
        </w:rPr>
      </w:pPr>
      <w:r>
        <w:rPr>
          <w:rFonts w:ascii="Times New Roman" w:eastAsia="方正仿宋_GBK" w:cs="Times New Roman" w:hAnsi="Times New Roman"/>
          <w:b/>
          <w:bCs/>
          <w:kern w:val="0"/>
          <w:sz w:val="32"/>
          <w:szCs w:val="32"/>
          <w:lang w:val="en-US" w:eastAsia="zh-CN" w:bidi="ar-SA"/>
        </w:rPr>
        <w:t>集团侧：</w:t>
      </w:r>
      <w:r>
        <w:rPr>
          <w:rFonts w:ascii="Times New Roman" w:eastAsia="方正仿宋_GBK" w:cs="Times New Roman" w:hAnsi="Times New Roman"/>
          <w:b w:val="0"/>
          <w:kern w:val="0"/>
          <w:sz w:val="32"/>
          <w:szCs w:val="32"/>
          <w:lang w:val="en-US" w:eastAsia="zh-CN" w:bidi="ar-SA"/>
        </w:rPr>
        <w:t>实现集团管理需要的财务数据、业务数据可穿透、可追溯，还原业务真实情况，深化业财融合价值，强化管理报表能力，指导经营管理。</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val="0"/>
          <w:kern w:val="0"/>
          <w:sz w:val="32"/>
          <w:szCs w:val="32"/>
          <w:lang w:val="en-US" w:eastAsia="zh-CN" w:bidi="ar-SA"/>
        </w:rPr>
      </w:pPr>
      <w:r>
        <w:rPr>
          <w:rFonts w:ascii="Times New Roman" w:eastAsia="方正仿宋_GBK" w:cs="Times New Roman" w:hAnsi="Times New Roman"/>
          <w:b/>
          <w:bCs/>
          <w:kern w:val="0"/>
          <w:sz w:val="32"/>
          <w:szCs w:val="32"/>
          <w:lang w:val="en-US" w:eastAsia="zh-CN" w:bidi="ar-SA"/>
        </w:rPr>
        <w:t>企业侧：</w:t>
      </w:r>
      <w:bookmarkStart w:id="4" w:name="_Toc235194856"/>
      <w:r>
        <w:rPr>
          <w:rFonts w:ascii="Times New Roman" w:eastAsia="方正仿宋_GBK" w:cs="Times New Roman" w:hAnsi="Times New Roman"/>
          <w:b w:val="0"/>
          <w:kern w:val="0"/>
          <w:sz w:val="32"/>
          <w:szCs w:val="32"/>
          <w:lang w:val="en-US" w:eastAsia="zh-CN" w:bidi="ar-SA"/>
        </w:rPr>
        <w:t>通过系统的实施上线，切实提升业务效率和企业管理水平，并以信息化为契机，实现各企业的管理目标。</w:t>
      </w:r>
    </w:p>
    <w:p>
      <w:pPr>
        <w:pStyle w:val="1"/>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黑体_GBK" w:cs="Times New Roman" w:hAnsi="Times New Roman"/>
          <w:b w:val="0"/>
          <w:bCs/>
          <w:kern w:val="44"/>
          <w:sz w:val="32"/>
          <w:szCs w:val="32"/>
          <w:lang w:val="en-US" w:eastAsia="zh-CN" w:bidi="ar-SA"/>
        </w:rPr>
      </w:pPr>
      <w:r>
        <w:rPr>
          <w:rFonts w:ascii="Times New Roman" w:eastAsia="方正黑体_GBK" w:cs="Times New Roman" w:hAnsi="Times New Roman"/>
          <w:b w:val="0"/>
          <w:bCs/>
          <w:sz w:val="32"/>
          <w:szCs w:val="32"/>
          <w:lang w:val="en-US" w:eastAsia="zh-CN"/>
        </w:rPr>
        <w:t>五、</w:t>
      </w:r>
      <w:bookmarkStart w:id="5" w:name="_Toc235194857"/>
      <w:bookmarkEnd w:id="4"/>
      <w:r>
        <w:rPr>
          <w:rFonts w:ascii="Times New Roman" w:eastAsia="方正黑体_GBK" w:cs="Times New Roman" w:hAnsi="Times New Roman"/>
          <w:b w:val="0"/>
          <w:bCs/>
          <w:kern w:val="44"/>
          <w:sz w:val="32"/>
          <w:szCs w:val="32"/>
          <w:lang w:val="en-US" w:eastAsia="zh-CN" w:bidi="ar-SA"/>
        </w:rPr>
        <w:t>项目建设总体原则</w:t>
      </w:r>
      <w:bookmarkEnd w:id="5"/>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本次项目建设遵循以下总体原则，确保方案的系统性、可落地性和可持续性：</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lang w:val="en-US" w:eastAsia="zh-CN"/>
        </w:rPr>
      </w:pPr>
      <w:r>
        <w:rPr>
          <w:rFonts w:ascii="Times New Roman" w:eastAsia="方正楷体_GBK" w:cs="Times New Roman" w:hAnsi="Times New Roman"/>
          <w:b w:val="0"/>
          <w:bCs/>
          <w:sz w:val="32"/>
          <w:szCs w:val="32"/>
          <w:lang w:val="en-US" w:eastAsia="zh-CN"/>
        </w:rPr>
        <w:t>（一）统一建设、集约共享</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改变过去各企业分散建设信息系统的模式，由集团统一建设供应链业财一体化</w:t>
      </w:r>
      <w:r>
        <w:rPr>
          <w:rFonts w:ascii="Times New Roman" w:eastAsia="方正仿宋_GBK" w:cs="Times New Roman" w:hAnsi="Times New Roman"/>
          <w:sz w:val="32"/>
          <w:szCs w:val="32"/>
          <w:lang w:eastAsia="zh-CN"/>
        </w:rPr>
        <w:t>系统</w:t>
      </w:r>
      <w:r>
        <w:rPr>
          <w:rFonts w:ascii="Times New Roman" w:eastAsia="方正仿宋_GBK" w:cs="Times New Roman" w:hAnsi="Times New Roman"/>
          <w:sz w:val="32"/>
          <w:szCs w:val="32"/>
        </w:rPr>
        <w:t>。通过集中部署、统一运维，实现硬件资源集约化、软件许可共享化、实施经验可复用，从整体上降低建设成本和后期运维负担，避免各企业重复投资和后期整合难题。</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lang w:val="en-US" w:eastAsia="zh-CN"/>
        </w:rPr>
      </w:pPr>
      <w:r>
        <w:rPr>
          <w:rFonts w:ascii="Times New Roman" w:eastAsia="方正楷体_GBK" w:cs="Times New Roman" w:hAnsi="Times New Roman"/>
          <w:b w:val="0"/>
          <w:bCs/>
          <w:sz w:val="32"/>
          <w:szCs w:val="32"/>
          <w:lang w:val="en-US" w:eastAsia="zh-CN"/>
        </w:rPr>
        <w:t>（二）标准先行、数据打通</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系统建设与标准建设同步推进：财务主数据（科目、客商、组织、人员）沿用集团现有标准，物料主数据按照集团统一编码体系新建，确保各企业与集团之间、企业与企业之间的数据“书同文、车同轨”。以此为基础，实现财务系统（浪潮）与统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之间的凭证级数据集成，支撑集团从财务结果到业务明细的穿透式查询。</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lang w:val="en-US" w:eastAsia="zh-CN"/>
        </w:rPr>
      </w:pPr>
      <w:r>
        <w:rPr>
          <w:rFonts w:ascii="Times New Roman" w:eastAsia="方正楷体_GBK" w:cs="Times New Roman" w:hAnsi="Times New Roman"/>
          <w:b w:val="0"/>
          <w:bCs/>
          <w:sz w:val="32"/>
          <w:szCs w:val="32"/>
          <w:lang w:val="en-US" w:eastAsia="zh-CN"/>
        </w:rPr>
        <w:t>（三）分步实施、试点推广</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采取</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先试点、后推广”的策略，降低项目风险。选取</w:t>
      </w:r>
      <w:r>
        <w:rPr>
          <w:rFonts w:ascii="Times New Roman" w:eastAsia="方正仿宋_GBK" w:cs="Times New Roman" w:hAnsi="Times New Roman"/>
          <w:sz w:val="32"/>
          <w:szCs w:val="32"/>
          <w:lang w:eastAsia="zh-CN"/>
        </w:rPr>
        <w:t>三峡渔业和</w:t>
      </w:r>
      <w:r>
        <w:rPr>
          <w:rFonts w:ascii="Times New Roman" w:eastAsia="方正仿宋_GBK" w:cs="Times New Roman" w:hAnsi="Times New Roman"/>
          <w:sz w:val="32"/>
          <w:szCs w:val="32"/>
        </w:rPr>
        <w:t>健康产业作为试点，快速验证系统功能、集团集成效果和业务穿透能力，总结实施经验后再推广至其他企业，确保每步走稳、每批见效。</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lang w:val="en-US" w:eastAsia="zh-CN"/>
        </w:rPr>
      </w:pPr>
      <w:r>
        <w:rPr>
          <w:rFonts w:ascii="Times New Roman" w:eastAsia="方正楷体_GBK" w:cs="Times New Roman" w:hAnsi="Times New Roman"/>
          <w:b w:val="0"/>
          <w:bCs/>
          <w:sz w:val="32"/>
          <w:szCs w:val="32"/>
          <w:lang w:val="en-US" w:eastAsia="zh-CN"/>
        </w:rPr>
        <w:t>（四）业财一体、穿透管控</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以</w:t>
      </w:r>
      <w:r>
        <w:rPr>
          <w:rFonts w:ascii="Times New Roman" w:eastAsia="方正仿宋_GBK" w:cs="Times New Roman" w:hAnsi="Times New Roman"/>
          <w:sz w:val="32"/>
          <w:szCs w:val="32"/>
          <w:lang w:eastAsia="zh-CN"/>
        </w:rPr>
        <w:t>供应链</w:t>
      </w:r>
      <w:r>
        <w:rPr>
          <w:rFonts w:ascii="Times New Roman" w:eastAsia="方正仿宋_GBK" w:cs="Times New Roman" w:hAnsi="Times New Roman"/>
          <w:sz w:val="32"/>
          <w:szCs w:val="32"/>
        </w:rPr>
        <w:t>业财一体化</w:t>
      </w:r>
      <w:r>
        <w:rPr>
          <w:rFonts w:ascii="Times New Roman" w:eastAsia="方正仿宋_GBK" w:cs="Times New Roman" w:hAnsi="Times New Roman"/>
          <w:sz w:val="32"/>
          <w:szCs w:val="32"/>
          <w:lang w:eastAsia="zh-CN"/>
        </w:rPr>
        <w:t>系统</w:t>
      </w:r>
      <w:r>
        <w:rPr>
          <w:rFonts w:ascii="Times New Roman" w:eastAsia="方正仿宋_GBK" w:cs="Times New Roman" w:hAnsi="Times New Roman"/>
          <w:sz w:val="32"/>
          <w:szCs w:val="32"/>
        </w:rPr>
        <w:t>作为核心设计目标，打通供应链业务系统与集团财务核算系统的数据链路，实现</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业务发生→凭证生成→报表出具→穿透查询”的完整闭环。满足集团管理层从财务数据穿透到业务明细的管控需求，同时满足各企业自身业务线上化和精细化管理的需要。</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lang w:val="en-US" w:eastAsia="zh-CN"/>
        </w:rPr>
      </w:pPr>
      <w:r>
        <w:rPr>
          <w:rFonts w:ascii="Times New Roman" w:eastAsia="方正楷体_GBK" w:cs="Times New Roman" w:hAnsi="Times New Roman"/>
          <w:b w:val="0"/>
          <w:bCs/>
          <w:sz w:val="32"/>
          <w:szCs w:val="32"/>
          <w:lang w:val="en-US" w:eastAsia="zh-CN"/>
        </w:rPr>
        <w:t>（</w:t>
      </w:r>
      <w:r>
        <w:rPr>
          <w:rFonts w:ascii="Times New Roman" w:eastAsia="方正楷体_GBK" w:cs="Times New Roman" w:hAnsi="Times New Roman"/>
          <w:b w:val="0"/>
          <w:bCs/>
          <w:sz w:val="32"/>
          <w:szCs w:val="32"/>
          <w:lang w:val="en-US" w:eastAsia="zh-CN"/>
        </w:rPr>
        <w:t>五</w:t>
      </w:r>
      <w:r>
        <w:rPr>
          <w:rFonts w:ascii="Times New Roman" w:eastAsia="方正楷体_GBK" w:cs="Times New Roman" w:hAnsi="Times New Roman"/>
          <w:b w:val="0"/>
          <w:bCs/>
          <w:sz w:val="32"/>
          <w:szCs w:val="32"/>
          <w:lang w:val="en-US" w:eastAsia="zh-CN"/>
        </w:rPr>
        <w:t>）兼顾统一与灵活</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sz w:val="32"/>
          <w:szCs w:val="32"/>
        </w:rPr>
        <w:t>在集团统一标准框架下，充分考虑各企业的业态差异和个性化业务需求。主营业务差异较大的企业（如</w:t>
      </w:r>
      <w:r>
        <w:rPr>
          <w:rFonts w:ascii="Times New Roman" w:eastAsia="方正仿宋_GBK" w:cs="Times New Roman" w:hAnsi="Times New Roman"/>
          <w:sz w:val="32"/>
          <w:szCs w:val="32"/>
          <w:lang w:eastAsia="zh-CN"/>
        </w:rPr>
        <w:t>三峡渔业的养殖</w:t>
      </w:r>
      <w:r>
        <w:rPr>
          <w:rFonts w:ascii="Times New Roman" w:eastAsia="方正仿宋_GBK" w:cs="Times New Roman" w:hAnsi="Times New Roman"/>
          <w:sz w:val="32"/>
          <w:szCs w:val="32"/>
        </w:rPr>
        <w:t>、健康产业的</w:t>
      </w:r>
      <w:r>
        <w:rPr>
          <w:rFonts w:ascii="Times New Roman" w:eastAsia="方正仿宋_GBK" w:cs="Times New Roman" w:hAnsi="Times New Roman"/>
          <w:sz w:val="32"/>
          <w:szCs w:val="32"/>
          <w:lang w:eastAsia="zh-CN"/>
        </w:rPr>
        <w:t>种植</w:t>
      </w:r>
      <w:r>
        <w:rPr>
          <w:rFonts w:ascii="Times New Roman" w:eastAsia="方正仿宋_GBK" w:cs="Times New Roman" w:hAnsi="Times New Roman"/>
          <w:sz w:val="32"/>
          <w:szCs w:val="32"/>
        </w:rPr>
        <w:t>），可在统一的</w:t>
      </w:r>
      <w:r>
        <w:rPr>
          <w:rFonts w:ascii="Times New Roman" w:eastAsia="方正仿宋_GBK" w:cs="Times New Roman" w:hAnsi="Times New Roman"/>
          <w:sz w:val="32"/>
          <w:szCs w:val="32"/>
          <w:lang w:eastAsia="zh-CN"/>
        </w:rPr>
        <w:t>系统</w:t>
      </w:r>
      <w:r>
        <w:rPr>
          <w:rFonts w:ascii="Times New Roman" w:eastAsia="方正仿宋_GBK" w:cs="Times New Roman" w:hAnsi="Times New Roman"/>
          <w:sz w:val="32"/>
          <w:szCs w:val="32"/>
        </w:rPr>
        <w:t>架构内通过配置化方式适配各自业务流程，避免</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一刀切”影响业务效率。</w:t>
      </w:r>
      <w:bookmarkStart w:id="6" w:name="_Toc235194858"/>
    </w:p>
    <w:p>
      <w:pPr>
        <w:pStyle w:val="2"/>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val="0"/>
          <w:i w:val="0"/>
          <w:color w:val="000000"/>
          <w:kern w:val="2"/>
          <w:sz w:val="32"/>
          <w:szCs w:val="32"/>
          <w:lang w:val="en-US" w:eastAsia="zh-CN" w:bidi="ar-SA"/>
        </w:rPr>
      </w:pPr>
      <w:r>
        <w:rPr>
          <w:rFonts w:ascii="Times New Roman" w:eastAsia="方正黑体_GBK" w:cs="Times New Roman" w:hAnsi="Times New Roman"/>
          <w:b w:val="0"/>
          <w:bCs/>
          <w:kern w:val="44"/>
          <w:sz w:val="32"/>
          <w:szCs w:val="32"/>
          <w:lang w:val="en-US" w:eastAsia="zh-CN" w:bidi="ar-SA"/>
        </w:rPr>
        <w:t>六、项目建设总体</w:t>
      </w:r>
      <w:bookmarkEnd w:id="6"/>
      <w:r>
        <w:rPr>
          <w:rFonts w:ascii="Times New Roman" w:eastAsia="方正黑体_GBK" w:cs="Times New Roman" w:hAnsi="Times New Roman"/>
          <w:b w:val="0"/>
          <w:bCs/>
          <w:kern w:val="44"/>
          <w:sz w:val="32"/>
          <w:szCs w:val="32"/>
          <w:lang w:val="en-US" w:eastAsia="zh-CN" w:bidi="ar-SA"/>
        </w:rPr>
        <w:t>要求</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基于上述总体原则，结合本次建设范围内</w:t>
      </w:r>
      <w:r>
        <w:rPr>
          <w:rFonts w:ascii="Times New Roman" w:eastAsia="方正仿宋_GBK" w:cs="Times New Roman" w:hAnsi="Times New Roman"/>
          <w:sz w:val="32"/>
          <w:szCs w:val="32"/>
          <w:lang w:val="en-US" w:eastAsia="zh-CN"/>
        </w:rPr>
        <w:t>8</w:t>
      </w:r>
      <w:r>
        <w:rPr>
          <w:rFonts w:ascii="Times New Roman" w:eastAsia="方正仿宋_GBK" w:cs="Times New Roman" w:hAnsi="Times New Roman"/>
          <w:sz w:val="32"/>
          <w:szCs w:val="32"/>
        </w:rPr>
        <w:t>家企业的信息化现状，本方案按照</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五个统一”的框架进行总体</w:t>
      </w:r>
      <w:r>
        <w:rPr>
          <w:rFonts w:ascii="Times New Roman" w:eastAsia="方正仿宋_GBK" w:cs="Times New Roman" w:hAnsi="Times New Roman"/>
          <w:sz w:val="32"/>
          <w:szCs w:val="32"/>
          <w:lang w:eastAsia="zh-CN"/>
        </w:rPr>
        <w:t>要求</w:t>
      </w:r>
      <w:r>
        <w:rPr>
          <w:rFonts w:ascii="Times New Roman" w:eastAsia="方正仿宋_GBK" w:cs="Times New Roman" w:hAnsi="Times New Roman"/>
          <w:sz w:val="32"/>
          <w:szCs w:val="32"/>
        </w:rPr>
        <w:t>——统一规划是方向，明确</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建什么、怎么建”；统一标准是基础，解决</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数据怎么管”；统一</w:t>
      </w:r>
      <w:r>
        <w:rPr>
          <w:rFonts w:ascii="Times New Roman" w:eastAsia="方正仿宋_GBK" w:cs="Times New Roman" w:hAnsi="Times New Roman"/>
          <w:sz w:val="32"/>
          <w:szCs w:val="32"/>
          <w:lang w:eastAsia="zh-CN"/>
        </w:rPr>
        <w:t>系统</w:t>
      </w:r>
      <w:r>
        <w:rPr>
          <w:rFonts w:ascii="Times New Roman" w:eastAsia="方正仿宋_GBK" w:cs="Times New Roman" w:hAnsi="Times New Roman"/>
          <w:sz w:val="32"/>
          <w:szCs w:val="32"/>
        </w:rPr>
        <w:t>是载体，确定</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用哪个系统建”；统一集成是关键，打通</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系统之间怎么通”；统一运维是保障，确保</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建好之后有人管”。</w:t>
      </w:r>
    </w:p>
    <w:p>
      <w:pPr>
        <w:pageBreakBefore w:val="0"/>
        <w:widowControl w:val="0"/>
        <w:kinsoku/>
        <w:wordWrap/>
        <w:overflowPunct/>
        <w:topLinePunct w:val="0"/>
        <w:bidi w:val="0"/>
        <w:snapToGrid/>
        <w:ind w:right="0"/>
        <w:jc w:val="left"/>
        <w:textAlignment w:val="auto"/>
        <w:rPr>
          <w:rFonts w:ascii="Times New Roman" w:cs="Times New Roman" w:hAnsi="Times New Roman"/>
        </w:rPr>
      </w:pP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8"/>
          <w:szCs w:val="28"/>
          <w:lang w:val="en-US" w:eastAsia="zh-CN" w:bidi="ar-SA"/>
        </w:rPr>
      </w:pPr>
      <w:r>
        <w:rPr>
          <w:rFonts w:ascii="Times New Roman" w:eastAsia="方正黑体_GBK" w:cs="Times New Roman" w:hAnsi="Times New Roman"/>
          <w:b w:val="0"/>
          <w:bCs w:val="0"/>
          <w:kern w:val="2"/>
          <w:sz w:val="28"/>
          <w:szCs w:val="28"/>
          <w:lang w:val="en-US" w:eastAsia="zh-CN" w:bidi="ar-SA"/>
        </w:rPr>
        <w:drawing>
          <wp:anchor distT="0" distB="0" distL="114300" distR="114300" simplePos="0" relativeHeight="26" behindDoc="0" locked="0" layoutInCell="1" hidden="0" allowOverlap="1">
            <wp:simplePos x="0" y="0"/>
            <wp:positionH relativeFrom="column">
              <wp:posOffset>-377825</wp:posOffset>
            </wp:positionH>
            <wp:positionV relativeFrom="paragraph">
              <wp:posOffset>152400</wp:posOffset>
            </wp:positionV>
            <wp:extent cx="6647815" cy="3624580"/>
            <wp:wrapNone/>
            <wp:docPr id="3" name="图片 7" descr="微信图片_20260731085423_85_660"/>
            <wp:cNvGraphicFramePr>
              <a:graphicFrameLocks noChangeAspect="1"/>
            </wp:cNvGraphicFramePr>
            <a:graphic>
              <a:graphicData uri="http://schemas.openxmlformats.org/drawingml/2006/picture">
                <pic:pic>
                  <pic:nvPicPr>
                    <pic:cNvPr id="4" name="图片 7 4"/>
                    <pic:cNvPicPr/>
                  </pic:nvPicPr>
                  <pic:blipFill>
                    <a:blip r:embed="rId4"/>
                    <a:stretch>
                      <a:fillRect/>
                    </a:stretch>
                  </pic:blipFill>
                  <pic:spPr>
                    <a:xfrm rot="0">
                      <a:off x="0" y="0"/>
                      <a:ext cx="6647815" cy="3624580"/>
                    </a:xfrm>
                    <a:prstGeom prst="rect"/>
                    <a:noFill/>
                    <a:ln cmpd="sng" cap="flat">
                      <a:noFill/>
                      <a:prstDash val="solid"/>
                      <a:miter/>
                    </a:ln>
                    <a:effectLst/>
                  </pic:spPr>
                </pic:pic>
              </a:graphicData>
            </a:graphic>
          </wp:anchor>
        </w:drawing>
      </w: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8"/>
          <w:szCs w:val="28"/>
          <w:lang w:val="en-US" w:eastAsia="zh-CN" w:bidi="ar-SA"/>
        </w:rPr>
      </w:pP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8"/>
          <w:szCs w:val="28"/>
          <w:lang w:val="en-US" w:eastAsia="zh-CN" w:bidi="ar-SA"/>
        </w:rPr>
      </w:pP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8"/>
          <w:szCs w:val="28"/>
          <w:lang w:val="en-US" w:eastAsia="zh-CN" w:bidi="ar-SA"/>
        </w:rPr>
      </w:pP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8"/>
          <w:szCs w:val="28"/>
          <w:lang w:val="en-US" w:eastAsia="zh-CN" w:bidi="ar-SA"/>
        </w:rPr>
      </w:pP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8"/>
          <w:szCs w:val="28"/>
          <w:lang w:val="en-US" w:eastAsia="zh-CN" w:bidi="ar-SA"/>
        </w:rPr>
      </w:pP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8"/>
          <w:szCs w:val="28"/>
          <w:lang w:val="en-US" w:eastAsia="zh-CN" w:bidi="ar-SA"/>
        </w:rPr>
      </w:pP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8"/>
          <w:szCs w:val="28"/>
          <w:lang w:val="en-US" w:eastAsia="zh-CN" w:bidi="ar-SA"/>
        </w:rPr>
      </w:pP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8"/>
          <w:szCs w:val="28"/>
          <w:lang w:val="en-US" w:eastAsia="zh-CN" w:bidi="ar-SA"/>
        </w:rPr>
      </w:pP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8"/>
          <w:szCs w:val="28"/>
          <w:lang w:val="en-US" w:eastAsia="zh-CN" w:bidi="ar-SA"/>
        </w:rPr>
      </w:pP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8"/>
          <w:szCs w:val="28"/>
          <w:lang w:val="en-US" w:eastAsia="zh-CN" w:bidi="ar-SA"/>
        </w:rPr>
      </w:pP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4"/>
          <w:szCs w:val="24"/>
          <w:lang w:val="en-US" w:eastAsia="zh-CN" w:bidi="ar-SA"/>
        </w:rPr>
      </w:pPr>
      <w:r>
        <w:rPr>
          <w:rFonts w:ascii="Times New Roman" w:eastAsia="方正黑体_GBK" w:cs="Times New Roman" w:hAnsi="Times New Roman"/>
          <w:b w:val="0"/>
          <w:bCs w:val="0"/>
          <w:kern w:val="2"/>
          <w:sz w:val="28"/>
          <w:szCs w:val="28"/>
          <w:lang w:val="en-US" w:eastAsia="zh-CN" w:bidi="ar-SA"/>
        </w:rPr>
        <w:t>图1  集团数智化管控总体蓝图</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lang w:val="en-US" w:eastAsia="zh-CN"/>
        </w:rPr>
      </w:pPr>
      <w:r>
        <w:rPr>
          <w:rFonts w:ascii="Times New Roman" w:eastAsia="方正楷体_GBK" w:cs="Times New Roman" w:hAnsi="Times New Roman"/>
          <w:b w:val="0"/>
          <w:bCs/>
          <w:sz w:val="32"/>
          <w:szCs w:val="32"/>
          <w:lang w:val="en-US" w:eastAsia="zh-CN"/>
        </w:rPr>
        <w:t>（一）统一规划：明确建设范围与目标</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在集团总体数字化</w:t>
      </w:r>
      <w:r>
        <w:rPr>
          <w:rFonts w:ascii="Times New Roman" w:eastAsia="方正仿宋_GBK" w:cs="Times New Roman" w:hAnsi="Times New Roman"/>
          <w:sz w:val="32"/>
          <w:szCs w:val="32"/>
          <w:lang w:eastAsia="zh-CN"/>
        </w:rPr>
        <w:t>转型</w:t>
      </w:r>
      <w:r>
        <w:rPr>
          <w:rFonts w:ascii="Times New Roman" w:eastAsia="方正仿宋_GBK" w:cs="Times New Roman" w:hAnsi="Times New Roman"/>
          <w:sz w:val="32"/>
          <w:szCs w:val="32"/>
        </w:rPr>
        <w:t>规划下，充分考虑各单位业务个性化需求，统一规划供应链业财一体化</w:t>
      </w:r>
      <w:r>
        <w:rPr>
          <w:rFonts w:ascii="Times New Roman" w:eastAsia="方正仿宋_GBK" w:cs="Times New Roman" w:hAnsi="Times New Roman"/>
          <w:sz w:val="32"/>
          <w:szCs w:val="32"/>
          <w:lang w:eastAsia="zh-CN"/>
        </w:rPr>
        <w:t>系统</w:t>
      </w:r>
      <w:r>
        <w:rPr>
          <w:rFonts w:ascii="Times New Roman" w:eastAsia="方正仿宋_GBK" w:cs="Times New Roman" w:hAnsi="Times New Roman"/>
          <w:sz w:val="32"/>
          <w:szCs w:val="32"/>
        </w:rPr>
        <w:t>项目，建设组织范围、建设业务范围、建设业务目标等。</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lang w:val="en-US" w:eastAsia="zh-CN"/>
        </w:rPr>
      </w:pPr>
      <w:r>
        <w:rPr>
          <w:rFonts w:ascii="Times New Roman" w:eastAsia="方正楷体_GBK" w:cs="Times New Roman" w:hAnsi="Times New Roman"/>
          <w:b w:val="0"/>
          <w:bCs/>
          <w:sz w:val="32"/>
          <w:szCs w:val="32"/>
          <w:lang w:val="en-US" w:eastAsia="zh-CN"/>
        </w:rPr>
        <w:t>（二）统一标准：主数据标准化</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sz w:val="32"/>
          <w:szCs w:val="32"/>
        </w:rPr>
        <w:t>系统建设与标准建设同步推进，确保各企业与集团之间数据</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书同文、车同轨”</w:t>
      </w:r>
      <w:r>
        <w:rPr>
          <w:rFonts w:ascii="Times New Roman" w:eastAsia="方正仿宋_GBK" w:cs="Times New Roman" w:hAnsi="Times New Roman"/>
          <w:sz w:val="32"/>
          <w:szCs w:val="32"/>
          <w:lang w:eastAsia="zh-CN"/>
        </w:rPr>
        <w:t>。</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lang w:val="en-US" w:eastAsia="zh-CN"/>
        </w:rPr>
      </w:pPr>
      <w:r>
        <w:rPr>
          <w:rFonts w:ascii="Times New Roman" w:eastAsia="方正楷体_GBK" w:cs="Times New Roman" w:hAnsi="Times New Roman"/>
          <w:b w:val="0"/>
          <w:bCs/>
          <w:sz w:val="32"/>
          <w:szCs w:val="32"/>
          <w:lang w:val="en-US" w:eastAsia="zh-CN"/>
        </w:rPr>
        <w:t>（三）统一系统：搭建集团化供应链业财一体化系统</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在集团层面统一部署一套</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，支撑8家企业的供应链业财一体化。</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通过</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的多组织管理能力，在统一</w:t>
      </w:r>
      <w:r>
        <w:rPr>
          <w:rFonts w:ascii="Times New Roman" w:eastAsia="方正仿宋_GBK" w:cs="Times New Roman" w:hAnsi="Times New Roman"/>
          <w:sz w:val="32"/>
          <w:szCs w:val="32"/>
          <w:lang w:eastAsia="zh-CN"/>
        </w:rPr>
        <w:t>系统</w:t>
      </w:r>
      <w:r>
        <w:rPr>
          <w:rFonts w:ascii="Times New Roman" w:eastAsia="方正仿宋_GBK" w:cs="Times New Roman" w:hAnsi="Times New Roman"/>
          <w:sz w:val="32"/>
          <w:szCs w:val="32"/>
        </w:rPr>
        <w:t>上实现：</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组织隔离</w:t>
      </w:r>
      <w:r>
        <w:rPr>
          <w:rFonts w:ascii="Times New Roman" w:eastAsia="方正仿宋_GBK" w:cs="Times New Roman" w:hAnsi="Times New Roman"/>
          <w:sz w:val="32"/>
          <w:szCs w:val="32"/>
        </w:rPr>
        <w:t>：各企业独立核算、独立账套。</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权限隔离</w:t>
      </w:r>
      <w:r>
        <w:rPr>
          <w:rFonts w:ascii="Times New Roman" w:eastAsia="方正仿宋_GBK" w:cs="Times New Roman" w:hAnsi="Times New Roman"/>
          <w:sz w:val="32"/>
          <w:szCs w:val="32"/>
        </w:rPr>
        <w:t>：各企业用户仅访问本企业数据。</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主数据共享</w:t>
      </w:r>
      <w:r>
        <w:rPr>
          <w:rFonts w:ascii="Times New Roman" w:eastAsia="方正仿宋_GBK" w:cs="Times New Roman" w:hAnsi="Times New Roman"/>
          <w:sz w:val="32"/>
          <w:szCs w:val="32"/>
        </w:rPr>
        <w:t>：集团统一编码跨组织分发。</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集团穿透</w:t>
      </w:r>
      <w:r>
        <w:rPr>
          <w:rFonts w:ascii="Times New Roman" w:eastAsia="方正仿宋_GBK" w:cs="Times New Roman" w:hAnsi="Times New Roman"/>
          <w:sz w:val="32"/>
          <w:szCs w:val="32"/>
        </w:rPr>
        <w:t>：管理层可跨组织查看业务数据</w:t>
      </w:r>
      <w:r>
        <w:rPr>
          <w:rFonts w:ascii="Times New Roman" w:eastAsia="方正仿宋_GBK" w:cs="Times New Roman" w:hAnsi="Times New Roman"/>
          <w:sz w:val="32"/>
          <w:szCs w:val="32"/>
          <w:lang w:eastAsia="zh-CN"/>
        </w:rPr>
        <w:t>。</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lang w:val="en-US" w:eastAsia="zh-CN"/>
        </w:rPr>
      </w:pPr>
      <w:r>
        <w:rPr>
          <w:rFonts w:ascii="Times New Roman" w:eastAsia="方正楷体_GBK" w:cs="Times New Roman" w:hAnsi="Times New Roman"/>
          <w:b w:val="0"/>
          <w:bCs/>
          <w:sz w:val="32"/>
          <w:szCs w:val="32"/>
          <w:lang w:val="en-US" w:eastAsia="zh-CN"/>
        </w:rPr>
        <w:t>（四）统一集成：打通统建供应链业财一体化系统与周边系统</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统建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并非孤立系统，需要与集团已有系统实现数据互通，集成工作是本次项目的关键难点。</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主要集成场景如下：</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与浪潮财务系统集成——凭证级穿透</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sz w:val="32"/>
          <w:szCs w:val="32"/>
        </w:rPr>
        <w:t>通过集团统一集成</w:t>
      </w:r>
      <w:r>
        <w:rPr>
          <w:rFonts w:ascii="Times New Roman" w:eastAsia="方正仿宋_GBK" w:cs="Times New Roman" w:hAnsi="Times New Roman"/>
          <w:sz w:val="32"/>
          <w:szCs w:val="32"/>
          <w:lang w:eastAsia="zh-CN"/>
        </w:rPr>
        <w:t>接口</w:t>
      </w:r>
      <w:r>
        <w:rPr>
          <w:rFonts w:ascii="Times New Roman" w:eastAsia="方正仿宋_GBK" w:cs="Times New Roman" w:hAnsi="Times New Roman"/>
          <w:sz w:val="32"/>
          <w:szCs w:val="32"/>
        </w:rPr>
        <w:t>平台（ESB/API Gateway）实现接口调用，支持实时查询和异步推送。每张凭证建立双向映射关系，确保穿透准确性。上传失败时自动重试3次，3次后生成异常通知人工处理。</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与司库系统集成——资金结算闭环</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sz w:val="32"/>
          <w:szCs w:val="32"/>
        </w:rPr>
        <w:t>统建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资金结算单→提交司库审批→审批通过→银企直联发起付款→回单返回统建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更新状态。</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与银企直联集成——收付款自动处理</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sz w:val="32"/>
          <w:szCs w:val="32"/>
        </w:rPr>
        <w:t>银企直联获取收款流水→同步至统建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→自动生成收款单→与应收账款核销。</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与集团统一门户集成</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sz w:val="32"/>
          <w:szCs w:val="32"/>
        </w:rPr>
        <w:t>统建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的经营类报表、审批待办等统一接入集团门户，实现单点登录、统一入口。拟上市企业（乳业板块、凯欣粮油）通过标准化报表模板上传汇总级经营数据，经集团门户统一展示。</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lang w:val="en-US" w:eastAsia="zh-CN"/>
        </w:rPr>
      </w:pPr>
      <w:r>
        <w:rPr>
          <w:rFonts w:ascii="Times New Roman" w:eastAsia="方正楷体_GBK" w:cs="Times New Roman" w:hAnsi="Times New Roman"/>
          <w:b w:val="0"/>
          <w:bCs/>
          <w:sz w:val="32"/>
          <w:szCs w:val="32"/>
          <w:lang w:val="en-US" w:eastAsia="zh-CN"/>
        </w:rPr>
        <w:t>（五）统一运维：保障系统长期稳定运行</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集团统一建设后，硬件资源、系统升级更新、补丁管理、数据备份与安全等由集团统一负责：</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基础设施</w:t>
      </w:r>
      <w:r>
        <w:rPr>
          <w:rFonts w:ascii="Times New Roman" w:eastAsia="方正仿宋_GBK" w:cs="Times New Roman" w:hAnsi="Times New Roman"/>
          <w:sz w:val="32"/>
          <w:szCs w:val="32"/>
        </w:rPr>
        <w:t>：服务器、存储、网络等硬件资源集中规划、统一采购，避免各企业分别采购造成的规格不一和资源浪费</w:t>
      </w:r>
      <w:r>
        <w:rPr>
          <w:rFonts w:ascii="Times New Roman" w:eastAsia="方正仿宋_GBK" w:cs="Times New Roman" w:hAnsi="Times New Roman"/>
          <w:sz w:val="32"/>
          <w:szCs w:val="32"/>
          <w:lang w:eastAsia="zh-CN"/>
        </w:rPr>
        <w:t>。</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系统运维</w:t>
      </w:r>
      <w:r>
        <w:rPr>
          <w:rFonts w:ascii="Times New Roman" w:eastAsia="方正仿宋_GBK" w:cs="Times New Roman" w:hAnsi="Times New Roman"/>
          <w:sz w:val="32"/>
          <w:szCs w:val="32"/>
        </w:rPr>
        <w:t>：统建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的日常巡检、性能监控、故障处理由集团统一运维团队负责</w:t>
      </w:r>
      <w:r>
        <w:rPr>
          <w:rFonts w:ascii="Times New Roman" w:eastAsia="方正仿宋_GBK" w:cs="Times New Roman" w:hAnsi="Times New Roman"/>
          <w:sz w:val="32"/>
          <w:szCs w:val="32"/>
          <w:lang w:eastAsia="zh-CN"/>
        </w:rPr>
        <w:t>。</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升级管理</w:t>
      </w:r>
      <w:r>
        <w:rPr>
          <w:rFonts w:ascii="Times New Roman" w:eastAsia="方正仿宋_GBK" w:cs="Times New Roman" w:hAnsi="Times New Roman"/>
          <w:sz w:val="32"/>
          <w:szCs w:val="32"/>
        </w:rPr>
        <w:t>：系统版本升级、安全补丁更新由集团统一评估、统一部署，确保各企业版本一致</w:t>
      </w:r>
      <w:r>
        <w:rPr>
          <w:rFonts w:ascii="Times New Roman" w:eastAsia="方正仿宋_GBK" w:cs="Times New Roman" w:hAnsi="Times New Roman"/>
          <w:sz w:val="32"/>
          <w:szCs w:val="32"/>
          <w:lang w:eastAsia="zh-CN"/>
        </w:rPr>
        <w:t>。</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数据安全</w:t>
      </w:r>
      <w:r>
        <w:rPr>
          <w:rFonts w:ascii="Times New Roman" w:eastAsia="方正仿宋_GBK" w:cs="Times New Roman" w:hAnsi="Times New Roman"/>
          <w:sz w:val="32"/>
          <w:szCs w:val="32"/>
        </w:rPr>
        <w:t>：统一数据备份策略和灾备方案，统一安全审计和权限管控</w:t>
      </w:r>
      <w:r>
        <w:rPr>
          <w:rFonts w:ascii="Times New Roman" w:eastAsia="方正仿宋_GBK" w:cs="Times New Roman" w:hAnsi="Times New Roman"/>
          <w:sz w:val="32"/>
          <w:szCs w:val="32"/>
          <w:lang w:eastAsia="zh-CN"/>
        </w:rPr>
        <w:t>。</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通过统一运维，</w:t>
      </w:r>
      <w:r>
        <w:rPr>
          <w:rFonts w:ascii="Times New Roman" w:eastAsia="方正仿宋_GBK" w:cs="Times New Roman" w:hAnsi="Times New Roman"/>
          <w:b/>
          <w:bCs/>
          <w:sz w:val="32"/>
          <w:szCs w:val="32"/>
        </w:rPr>
        <w:t>各企业无需配备独立的信息化运维团队</w:t>
      </w:r>
      <w:r>
        <w:rPr>
          <w:rFonts w:ascii="Times New Roman" w:eastAsia="方正仿宋_GBK" w:cs="Times New Roman" w:hAnsi="Times New Roman"/>
          <w:sz w:val="32"/>
          <w:szCs w:val="32"/>
        </w:rPr>
        <w:t>，降低总体运维成本，同时确保系统运行的安全性和稳定性。</w:t>
      </w:r>
    </w:p>
    <w:p>
      <w:pPr>
        <w:pStyle w:val="20"/>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方正楷体_GBK" w:cs="Times New Roman" w:hAnsi="Times New Roman"/>
          <w:b w:val="0"/>
          <w:bCs/>
          <w:kern w:val="2"/>
          <w:sz w:val="32"/>
          <w:szCs w:val="32"/>
          <w:lang w:val="en-US" w:eastAsia="zh-CN" w:bidi="ar-SA"/>
        </w:rPr>
      </w:pPr>
      <w:r>
        <w:rPr>
          <w:rFonts w:ascii="Times New Roman" w:eastAsia="方正黑体_GBK" w:cs="Times New Roman" w:hAnsi="Times New Roman"/>
          <w:b w:val="0"/>
          <w:bCs/>
          <w:kern w:val="44"/>
          <w:sz w:val="32"/>
          <w:szCs w:val="32"/>
          <w:lang w:val="en-US" w:eastAsia="zh-CN" w:bidi="ar-SA"/>
        </w:rPr>
        <w:t>七</w:t>
      </w:r>
      <w:r>
        <w:rPr>
          <w:rFonts w:ascii="Times New Roman" w:eastAsia="方正黑体_GBK" w:cs="Times New Roman" w:hAnsi="Times New Roman"/>
          <w:b w:val="0"/>
          <w:bCs/>
          <w:kern w:val="44"/>
          <w:sz w:val="32"/>
          <w:szCs w:val="32"/>
          <w:lang w:val="en-US" w:eastAsia="zh-CN" w:bidi="ar-SA"/>
        </w:rPr>
        <w:t>、</w:t>
      </w:r>
      <w:r>
        <w:rPr>
          <w:rFonts w:ascii="Times New Roman" w:eastAsia="方正黑体_GBK" w:cs="Times New Roman" w:hAnsi="Times New Roman"/>
          <w:b w:val="0"/>
          <w:bCs/>
          <w:kern w:val="44"/>
          <w:sz w:val="32"/>
          <w:szCs w:val="32"/>
          <w:lang w:val="en-US" w:eastAsia="zh-CN" w:bidi="ar-SA"/>
        </w:rPr>
        <w:t>供应链业财一体化系统总体架构</w:t>
      </w:r>
      <w:bookmarkStart w:id="7" w:name="_Toc235194859"/>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r>
        <w:rPr>
          <w:rFonts w:ascii="Times New Roman" w:eastAsia="仿宋_GB2312" w:cs="Times New Roman" w:hAnsi="Times New Roman"/>
          <w:lang w:eastAsia="zh-CN"/>
        </w:rPr>
        <w:drawing>
          <wp:anchor distT="0" distB="0" distL="114300" distR="114300" simplePos="0" relativeHeight="28" behindDoc="0" locked="0" layoutInCell="1" hidden="0" allowOverlap="1">
            <wp:simplePos x="0" y="0"/>
            <wp:positionH relativeFrom="column">
              <wp:posOffset>-591185</wp:posOffset>
            </wp:positionH>
            <wp:positionV relativeFrom="paragraph">
              <wp:posOffset>213995</wp:posOffset>
            </wp:positionV>
            <wp:extent cx="6898640" cy="3373120"/>
            <wp:wrapNone/>
            <wp:docPr id="4" name="图片 8" descr="微信图片_20260731094545_92_660"/>
            <wp:cNvGraphicFramePr>
              <a:graphicFrameLocks noChangeAspect="1"/>
            </wp:cNvGraphicFramePr>
            <a:graphic>
              <a:graphicData uri="http://schemas.openxmlformats.org/drawingml/2006/picture">
                <pic:pic>
                  <pic:nvPicPr>
                    <pic:cNvPr id="6" name="图片 8 6"/>
                    <pic:cNvPicPr/>
                  </pic:nvPicPr>
                  <pic:blipFill>
                    <a:blip r:embed="rId5"/>
                    <a:stretch>
                      <a:fillRect/>
                    </a:stretch>
                  </pic:blipFill>
                  <pic:spPr>
                    <a:xfrm rot="0">
                      <a:off x="0" y="0"/>
                      <a:ext cx="6898640" cy="3373120"/>
                    </a:xfrm>
                    <a:prstGeom prst="rect"/>
                    <a:noFill/>
                    <a:ln cmpd="sng" cap="flat">
                      <a:noFill/>
                      <a:prstDash val="solid"/>
                      <a:miter/>
                    </a:ln>
                    <a:effectLst/>
                  </pic:spPr>
                </pic:pic>
              </a:graphicData>
            </a:graphic>
          </wp:anchor>
        </w:drawing>
      </w:r>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p>
    <w:p>
      <w:pPr>
        <w:pStyle w:val="43"/>
        <w:pageBreakBefore w:val="0"/>
        <w:widowControl w:val="0"/>
        <w:kinsoku/>
        <w:wordWrap/>
        <w:overflowPunct/>
        <w:topLinePunct w:val="0"/>
        <w:bidi w:val="0"/>
        <w:snapToGrid/>
        <w:ind w:right="0"/>
        <w:jc w:val="both"/>
        <w:textAlignment w:val="auto"/>
        <w:rPr>
          <w:rFonts w:ascii="Times New Roman" w:eastAsia="仿宋_GB2312" w:cs="Times New Roman" w:hAnsi="Times New Roman"/>
          <w:lang w:eastAsia="zh-CN"/>
        </w:rPr>
      </w:pPr>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p>
    <w:p>
      <w:pPr>
        <w:pStyle w:val="43"/>
        <w:pageBreakBefore w:val="0"/>
        <w:widowControl w:val="0"/>
        <w:kinsoku/>
        <w:wordWrap/>
        <w:overflowPunct/>
        <w:topLinePunct w:val="0"/>
        <w:bidi w:val="0"/>
        <w:snapToGrid/>
        <w:ind w:right="0"/>
        <w:jc w:val="both"/>
        <w:textAlignment w:val="auto"/>
        <w:rPr>
          <w:rFonts w:ascii="Times New Roman" w:cs="Times New Roman" w:hAnsi="Times New Roman"/>
        </w:rPr>
      </w:pPr>
    </w:p>
    <w:p>
      <w:pPr>
        <w:pStyle w:val="43"/>
        <w:keepNext w:val="0"/>
        <w:keepLines w:val="0"/>
        <w:pageBreakBefore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sz w:val="28"/>
          <w:szCs w:val="28"/>
          <w:lang w:val="en-US" w:eastAsia="zh-CN"/>
        </w:rPr>
      </w:pPr>
      <w:r>
        <w:rPr>
          <w:rFonts w:ascii="Times New Roman" w:eastAsia="方正黑体_GBK" w:cs="Times New Roman" w:hAnsi="Times New Roman"/>
          <w:sz w:val="28"/>
          <w:szCs w:val="28"/>
          <w:lang w:eastAsia="zh-CN"/>
        </w:rPr>
        <w:t>图</w:t>
      </w:r>
      <w:r>
        <w:rPr>
          <w:rFonts w:ascii="Times New Roman" w:eastAsia="方正黑体_GBK" w:cs="Times New Roman" w:hAnsi="Times New Roman"/>
          <w:sz w:val="28"/>
          <w:szCs w:val="28"/>
          <w:lang w:val="en-US" w:eastAsia="zh-CN"/>
        </w:rPr>
        <w:t xml:space="preserve">2  </w:t>
      </w:r>
      <w:r>
        <w:rPr>
          <w:rFonts w:ascii="Times New Roman" w:eastAsia="方正黑体_GBK" w:cs="Times New Roman" w:hAnsi="Times New Roman"/>
          <w:b w:val="0"/>
          <w:bCs w:val="0"/>
          <w:kern w:val="2"/>
          <w:sz w:val="28"/>
          <w:szCs w:val="28"/>
          <w:lang w:val="en-US" w:eastAsia="zh-CN" w:bidi="ar-SA"/>
        </w:rPr>
        <w:t>供应链业财一体化系统架构图</w:t>
      </w:r>
    </w:p>
    <w:p>
      <w:pPr>
        <w:pStyle w:val="60"/>
        <w:keepNext w:val="0"/>
        <w:keepLines w:val="0"/>
        <w:pageBreakBefore w:val="0"/>
        <w:widowControl/>
        <w:suppressLineNumbers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kern w:val="2"/>
          <w:sz w:val="32"/>
          <w:szCs w:val="32"/>
          <w:lang w:val="en-US" w:eastAsia="zh-CN" w:bidi="ar-SA"/>
        </w:rPr>
      </w:pPr>
      <w:r>
        <w:rPr>
          <w:rFonts w:ascii="Times New Roman" w:eastAsia="方正仿宋_GBK" w:cs="Times New Roman" w:hAnsi="Times New Roman"/>
          <w:b/>
          <w:bCs/>
          <w:sz w:val="32"/>
          <w:szCs w:val="32"/>
        </w:rPr>
        <w:t>统一门户层：</w:t>
      </w:r>
      <w:r>
        <w:rPr>
          <w:rFonts w:ascii="Times New Roman" w:eastAsia="方正仿宋_GBK" w:cs="Times New Roman" w:hAnsi="Times New Roman"/>
          <w:kern w:val="2"/>
          <w:sz w:val="32"/>
          <w:szCs w:val="32"/>
          <w:lang w:val="en-US" w:eastAsia="zh-CN" w:bidi="ar-SA"/>
        </w:rPr>
        <w:t>统建供应链业财一体化系统接入集团统一门户，实现统一登录入口、单点登录、待办集中处理。</w:t>
      </w:r>
    </w:p>
    <w:p>
      <w:pPr>
        <w:pStyle w:val="43"/>
        <w:keepNext w:val="0"/>
        <w:keepLines w:val="0"/>
        <w:pageBreakBefore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集团</w:t>
      </w:r>
      <w:r>
        <w:rPr>
          <w:rFonts w:ascii="Times New Roman" w:eastAsia="方正仿宋_GBK" w:cs="Times New Roman" w:hAnsi="Times New Roman"/>
          <w:b/>
          <w:bCs/>
          <w:sz w:val="32"/>
          <w:szCs w:val="32"/>
          <w:lang w:val="en-US" w:eastAsia="zh-CN"/>
        </w:rPr>
        <w:t>管控</w:t>
      </w:r>
      <w:r>
        <w:rPr>
          <w:rFonts w:ascii="Times New Roman" w:eastAsia="方正仿宋_GBK" w:cs="Times New Roman" w:hAnsi="Times New Roman"/>
          <w:b/>
          <w:bCs/>
          <w:sz w:val="32"/>
          <w:szCs w:val="32"/>
        </w:rPr>
        <w:t>层</w:t>
      </w:r>
      <w:r>
        <w:rPr>
          <w:rFonts w:ascii="Times New Roman" w:eastAsia="方正仿宋_GBK" w:cs="Times New Roman" w:hAnsi="Times New Roman"/>
          <w:sz w:val="32"/>
          <w:szCs w:val="32"/>
        </w:rPr>
        <w:t>：集团统一建设的财务核算系统（浪潮）、司库系统、合并报表系统、银企直联、主数据系统等，面向集团管理层提供管控能力。</w:t>
      </w:r>
    </w:p>
    <w:p>
      <w:pPr>
        <w:pStyle w:val="43"/>
        <w:keepNext w:val="0"/>
        <w:keepLines w:val="0"/>
        <w:pageBreakBefore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lang w:eastAsia="zh-CN"/>
        </w:rPr>
        <w:t>集团</w:t>
      </w:r>
      <w:r>
        <w:rPr>
          <w:rFonts w:ascii="Times New Roman" w:eastAsia="方正仿宋_GBK" w:cs="Times New Roman" w:hAnsi="Times New Roman"/>
          <w:b/>
          <w:bCs/>
          <w:sz w:val="32"/>
          <w:szCs w:val="32"/>
        </w:rPr>
        <w:t>统建</w:t>
      </w:r>
      <w:r>
        <w:rPr>
          <w:rFonts w:ascii="Times New Roman" w:eastAsia="方正仿宋_GBK" w:cs="Times New Roman" w:hAnsi="Times New Roman"/>
          <w:b/>
          <w:bCs/>
          <w:sz w:val="32"/>
          <w:szCs w:val="32"/>
          <w:lang w:eastAsia="zh-CN"/>
        </w:rPr>
        <w:t>系统</w:t>
      </w:r>
      <w:r>
        <w:rPr>
          <w:rFonts w:ascii="Times New Roman" w:eastAsia="方正仿宋_GBK" w:cs="Times New Roman" w:hAnsi="Times New Roman"/>
          <w:b/>
          <w:bCs/>
          <w:sz w:val="32"/>
          <w:szCs w:val="32"/>
        </w:rPr>
        <w:t>层：</w:t>
      </w:r>
      <w:r>
        <w:rPr>
          <w:rFonts w:ascii="Times New Roman" w:eastAsia="方正仿宋_GBK" w:cs="Times New Roman" w:hAnsi="Times New Roman"/>
          <w:sz w:val="32"/>
          <w:szCs w:val="32"/>
        </w:rPr>
        <w:t>集团统建的供应链业财一体化系统，承载8家企业的供应链业务、经营报表等核心功能，是本方案的建设主体。</w:t>
      </w:r>
    </w:p>
    <w:p>
      <w:pPr>
        <w:pStyle w:val="43"/>
        <w:keepNext w:val="0"/>
        <w:keepLines w:val="0"/>
        <w:pageBreakBefore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集成</w:t>
      </w:r>
      <w:r>
        <w:rPr>
          <w:rFonts w:ascii="Times New Roman" w:eastAsia="方正仿宋_GBK" w:cs="Times New Roman" w:hAnsi="Times New Roman"/>
          <w:b/>
          <w:bCs/>
          <w:sz w:val="32"/>
          <w:szCs w:val="32"/>
          <w:lang w:eastAsia="zh-CN"/>
        </w:rPr>
        <w:t>接口</w:t>
      </w:r>
      <w:r>
        <w:rPr>
          <w:rFonts w:ascii="Times New Roman" w:eastAsia="方正仿宋_GBK" w:cs="Times New Roman" w:hAnsi="Times New Roman"/>
          <w:b/>
          <w:bCs/>
          <w:sz w:val="32"/>
          <w:szCs w:val="32"/>
        </w:rPr>
        <w:t>平台层</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sz w:val="32"/>
          <w:szCs w:val="32"/>
        </w:rPr>
        <w:t>集团统一集成</w:t>
      </w:r>
      <w:r>
        <w:rPr>
          <w:rFonts w:ascii="Times New Roman" w:eastAsia="方正仿宋_GBK" w:cs="Times New Roman" w:hAnsi="Times New Roman"/>
          <w:sz w:val="32"/>
          <w:szCs w:val="32"/>
          <w:lang w:eastAsia="zh-CN"/>
        </w:rPr>
        <w:t>接口</w:t>
      </w:r>
      <w:r>
        <w:rPr>
          <w:rFonts w:ascii="Times New Roman" w:eastAsia="方正仿宋_GBK" w:cs="Times New Roman" w:hAnsi="Times New Roman"/>
          <w:sz w:val="32"/>
          <w:szCs w:val="32"/>
        </w:rPr>
        <w:t>平台（ESB/API Gateway），实现统建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与浪潮财务、司库、银企直联等外围系统的数据互通</w:t>
      </w:r>
      <w:r>
        <w:rPr>
          <w:rFonts w:ascii="Times New Roman" w:eastAsia="方正仿宋_GBK" w:cs="Times New Roman" w:hAnsi="Times New Roman"/>
          <w:sz w:val="32"/>
          <w:szCs w:val="32"/>
          <w:lang w:eastAsia="zh-CN"/>
        </w:rPr>
        <w:t>。</w:t>
      </w:r>
    </w:p>
    <w:p>
      <w:pPr>
        <w:pStyle w:val="2"/>
        <w:keepNext/>
        <w:keepLines/>
        <w:pageBreakBefore w:val="0"/>
        <w:widowControl w:val="0"/>
        <w:kinsoku/>
        <w:wordWrap/>
        <w:overflowPunct/>
        <w:topLinePunct w:val="0"/>
        <w:autoSpaceDE/>
        <w:autoSpaceDN/>
        <w:bidi w:val="0"/>
        <w:adjustRightInd/>
        <w:snapToGrid/>
        <w:spacing w:before="0" w:after="0" w:line="600" w:lineRule="exact"/>
        <w:ind w:firstLineChars="200" w:firstLine="640"/>
        <w:jc w:val="left"/>
        <w:textAlignment w:val="auto"/>
        <w:rPr>
          <w:rFonts w:ascii="Times New Roman" w:eastAsia="方正仿宋_GBK" w:cs="Times New Roman" w:hAnsi="Times New Roman"/>
          <w:b w:val="0"/>
          <w:kern w:val="2"/>
          <w:sz w:val="32"/>
          <w:szCs w:val="32"/>
          <w:lang w:val="en-US" w:eastAsia="zh-CN" w:bidi="ar-SA"/>
        </w:rPr>
      </w:pPr>
      <w:r>
        <w:rPr>
          <w:rFonts w:ascii="Times New Roman" w:eastAsia="方正仿宋_GBK" w:cs="Times New Roman" w:hAnsi="Times New Roman"/>
          <w:b/>
          <w:bCs/>
          <w:sz w:val="32"/>
          <w:szCs w:val="32"/>
        </w:rPr>
        <w:t>企业自建系统层：</w:t>
      </w:r>
      <w:r>
        <w:rPr>
          <w:rFonts w:ascii="Times New Roman" w:eastAsia="方正仿宋_GBK" w:cs="Times New Roman" w:hAnsi="Times New Roman"/>
          <w:b w:val="0"/>
          <w:kern w:val="2"/>
          <w:sz w:val="32"/>
          <w:szCs w:val="32"/>
          <w:lang w:val="en-US" w:eastAsia="zh-CN" w:bidi="ar-SA"/>
        </w:rPr>
        <w:t>各企业业务差异较大的个性化系统（如收银系统、CRM系统、养殖管理系统、质检系统等），各企业自建，通过集成接口平台与统建供应链业财一体化系统对接。</w:t>
      </w:r>
    </w:p>
    <w:p>
      <w:pPr>
        <w:pStyle w:val="2"/>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val="0"/>
          <w:color w:val="000000"/>
          <w:sz w:val="32"/>
          <w:szCs w:val="32"/>
          <w:lang w:val="en-US" w:eastAsia="zh-CN"/>
        </w:rPr>
      </w:pPr>
      <w:r>
        <w:rPr>
          <w:rFonts w:ascii="Times New Roman" w:eastAsia="方正黑体_GBK" w:cs="Times New Roman" w:hAnsi="Times New Roman"/>
          <w:b w:val="0"/>
          <w:bCs/>
          <w:kern w:val="44"/>
          <w:sz w:val="32"/>
          <w:szCs w:val="32"/>
          <w:lang w:val="en-US" w:eastAsia="zh-CN" w:bidi="ar-SA"/>
        </w:rPr>
        <w:t>八、项目建设主要内容</w:t>
      </w:r>
      <w:bookmarkEnd w:id="7"/>
    </w:p>
    <w:p>
      <w:pPr>
        <w:pStyle w:val="3"/>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kern w:val="2"/>
          <w:sz w:val="32"/>
          <w:szCs w:val="32"/>
          <w:lang w:val="en-US" w:eastAsia="zh-CN" w:bidi="ar-SA"/>
        </w:rPr>
      </w:pPr>
      <w:bookmarkStart w:id="8" w:name="_Toc235194867"/>
      <w:bookmarkStart w:id="9" w:name="_Toc235194861"/>
      <w:r>
        <w:rPr>
          <w:rFonts w:ascii="Times New Roman" w:eastAsia="方正楷体_GBK" w:cs="Times New Roman" w:hAnsi="Times New Roman"/>
          <w:b w:val="0"/>
          <w:bCs/>
          <w:kern w:val="2"/>
          <w:sz w:val="32"/>
          <w:szCs w:val="32"/>
          <w:lang w:val="en-US" w:eastAsia="zh-CN" w:bidi="ar-SA"/>
        </w:rPr>
        <w:t>（一）统一主数据标准建设</w:t>
      </w:r>
    </w:p>
    <w:p>
      <w:pPr>
        <w:pageBreakBefore w:val="0"/>
        <w:widowControl w:val="0"/>
        <w:kinsoku/>
        <w:wordWrap/>
        <w:overflowPunct/>
        <w:topLinePunct w:val="0"/>
        <w:bidi w:val="0"/>
        <w:snapToGrid/>
        <w:ind w:left="0" w:right="0" w:firstLineChars="200" w:firstLine="420"/>
        <w:jc w:val="center"/>
        <w:textAlignment w:val="auto"/>
        <w:rPr>
          <w:rFonts w:ascii="Times New Roman" w:eastAsia="方正仿宋_GBK" w:cs="Times New Roman" w:hAnsi="Times New Roman"/>
          <w:sz w:val="28"/>
          <w:szCs w:val="28"/>
          <w:lang w:val="en-US" w:eastAsia="zh-CN"/>
        </w:rPr>
      </w:pPr>
      <w:r>
        <w:rPr>
          <w:rFonts w:ascii="Times New Roman" w:cs="Times New Roman" w:hAnsi="Times New Roman"/>
        </w:rPr>
        <w:drawing>
          <wp:anchor distT="0" distB="0" distL="114300" distR="114300" simplePos="0" relativeHeight="14" behindDoc="0" locked="0" layoutInCell="1" hidden="0" allowOverlap="1">
            <wp:simplePos x="0" y="0"/>
            <wp:positionH relativeFrom="column">
              <wp:posOffset>-455295</wp:posOffset>
            </wp:positionH>
            <wp:positionV relativeFrom="paragraph">
              <wp:posOffset>48260</wp:posOffset>
            </wp:positionV>
            <wp:extent cx="6690995" cy="2440939"/>
            <wp:wrapTight wrapText="bothSides">
              <wp:wrapPolygon>
                <wp:start x="21592" y="-2"/>
                <wp:lineTo x="0" y="0"/>
                <wp:lineTo x="0" y="21600"/>
                <wp:lineTo x="21592" y="21602"/>
                <wp:lineTo x="8" y="21602"/>
                <wp:lineTo x="21600" y="21600"/>
                <wp:lineTo x="21600" y="0"/>
                <wp:lineTo x="8" y="-2"/>
                <wp:lineTo x="21592" y="-2"/>
              </wp:wrapPolygon>
            </wp:wrapTight>
            <wp:docPr id="2" name="图片 2"/>
            <wp:cNvGraphicFramePr>
              <a:graphicFrameLocks noChangeAspect="1"/>
            </wp:cNvGraphicFramePr>
            <a:graphic>
              <a:graphicData uri="http://schemas.openxmlformats.org/drawingml/2006/picture">
                <pic:pic>
                  <pic:nvPicPr>
                    <pic:cNvPr id="8" name="图片 8"/>
                    <pic:cNvPicPr/>
                  </pic:nvPicPr>
                  <pic:blipFill>
                    <a:blip r:embed="rId6"/>
                    <a:stretch>
                      <a:fillRect/>
                    </a:stretch>
                  </pic:blipFill>
                  <pic:spPr>
                    <a:xfrm rot="0">
                      <a:off x="0" y="0"/>
                      <a:ext cx="6690995" cy="2440939"/>
                    </a:xfrm>
                    <a:prstGeom prst="rect"/>
                    <a:noFill/>
                    <a:ln cmpd="sng" cap="flat">
                      <a:noFill/>
                      <a:prstDash val="solid"/>
                      <a:miter/>
                    </a:ln>
                    <a:effectLst/>
                  </pic:spPr>
                </pic:pic>
              </a:graphicData>
            </a:graphic>
          </wp:anchor>
        </w:drawing>
      </w:r>
      <w:r>
        <w:rPr>
          <w:rFonts w:ascii="Times New Roman" w:eastAsia="方正黑体_GBK" w:cs="Times New Roman" w:hAnsi="Times New Roman"/>
          <w:b w:val="0"/>
          <w:bCs w:val="0"/>
          <w:kern w:val="2"/>
          <w:sz w:val="28"/>
          <w:szCs w:val="28"/>
          <w:lang w:val="en-US" w:eastAsia="zh-CN" w:bidi="ar-SA"/>
        </w:rPr>
        <w:t>图3  统一主数据管理平台（MDM）</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主数据</w:t>
      </w:r>
      <w:r>
        <w:rPr>
          <w:rFonts w:ascii="Times New Roman" w:eastAsia="方正仿宋_GBK" w:cs="Times New Roman" w:hAnsi="Times New Roman"/>
          <w:b/>
          <w:bCs/>
          <w:sz w:val="32"/>
          <w:szCs w:val="32"/>
          <w:lang w:eastAsia="zh-CN"/>
        </w:rPr>
        <w:t>管理</w:t>
      </w:r>
      <w:r>
        <w:rPr>
          <w:rFonts w:ascii="Times New Roman" w:eastAsia="方正仿宋_GBK" w:cs="Times New Roman" w:hAnsi="Times New Roman"/>
          <w:b/>
          <w:bCs/>
          <w:sz w:val="32"/>
          <w:szCs w:val="32"/>
        </w:rPr>
        <w:t>平台</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b/>
          <w:bCs/>
          <w:sz w:val="32"/>
          <w:szCs w:val="32"/>
          <w:lang w:val="en-US" w:eastAsia="zh-CN"/>
        </w:rPr>
        <w:t>MDM</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sz w:val="32"/>
          <w:szCs w:val="32"/>
        </w:rPr>
        <w:t>：沿用</w:t>
      </w:r>
      <w:r>
        <w:rPr>
          <w:rFonts w:ascii="Times New Roman" w:eastAsia="方正仿宋_GBK" w:cs="Times New Roman" w:hAnsi="Times New Roman"/>
          <w:sz w:val="32"/>
          <w:szCs w:val="32"/>
          <w:lang w:val="en-US" w:eastAsia="zh-CN"/>
        </w:rPr>
        <w:t>并独立部署</w:t>
      </w:r>
      <w:r>
        <w:rPr>
          <w:rFonts w:ascii="Times New Roman" w:eastAsia="方正仿宋_GBK" w:cs="Times New Roman" w:hAnsi="Times New Roman"/>
          <w:sz w:val="32"/>
          <w:szCs w:val="32"/>
        </w:rPr>
        <w:t>集团现有浪潮主数据管理平台（在集团数字化管控项目中建设，已管理组织、客商、科目、部门人员等财务主数据），本次在浪潮</w:t>
      </w:r>
      <w:r>
        <w:rPr>
          <w:rFonts w:ascii="Times New Roman" w:eastAsia="方正仿宋_GBK" w:cs="Times New Roman" w:hAnsi="Times New Roman"/>
          <w:sz w:val="32"/>
          <w:szCs w:val="32"/>
          <w:lang w:eastAsia="zh-CN"/>
        </w:rPr>
        <w:t>主数据管理平台（MDM）</w:t>
      </w:r>
      <w:r>
        <w:rPr>
          <w:rFonts w:ascii="Times New Roman" w:eastAsia="方正仿宋_GBK" w:cs="Times New Roman" w:hAnsi="Times New Roman"/>
          <w:sz w:val="32"/>
          <w:szCs w:val="32"/>
        </w:rPr>
        <w:t>中新增物料主数据管理模块，补齐供应链物料主数据的管理能力。</w:t>
      </w:r>
    </w:p>
    <w:p>
      <w:pPr>
        <w:pStyle w:val="20"/>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已有</w:t>
      </w:r>
      <w:r>
        <w:rPr>
          <w:rFonts w:ascii="Times New Roman" w:eastAsia="方正仿宋_GBK" w:cs="Times New Roman" w:hAnsi="Times New Roman"/>
          <w:b/>
          <w:bCs/>
          <w:sz w:val="32"/>
          <w:szCs w:val="32"/>
          <w:lang w:eastAsia="zh-CN"/>
        </w:rPr>
        <w:t>主数据管理平台</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b/>
          <w:bCs/>
          <w:sz w:val="32"/>
          <w:szCs w:val="32"/>
        </w:rPr>
        <w:t>中垦牧乳业</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sz w:val="32"/>
          <w:szCs w:val="32"/>
        </w:rPr>
        <w:t>中垦牧MDM为总，ERP及其他系统为分；集团浪潮主数据</w:t>
      </w:r>
      <w:r>
        <w:rPr>
          <w:rFonts w:ascii="Times New Roman" w:eastAsia="方正仿宋_GBK" w:cs="Times New Roman" w:hAnsi="Times New Roman"/>
          <w:sz w:val="32"/>
          <w:szCs w:val="32"/>
          <w:lang w:eastAsia="zh-CN"/>
        </w:rPr>
        <w:t>管理</w:t>
      </w:r>
      <w:r>
        <w:rPr>
          <w:rFonts w:ascii="Times New Roman" w:eastAsia="方正仿宋_GBK" w:cs="Times New Roman" w:hAnsi="Times New Roman"/>
          <w:sz w:val="32"/>
          <w:szCs w:val="32"/>
        </w:rPr>
        <w:t>平台</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lang w:val="en-US" w:eastAsia="zh-CN"/>
        </w:rPr>
        <w:t>MDM</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与中垦牧MDM通过标准接口对接</w:t>
      </w:r>
      <w:r>
        <w:rPr>
          <w:rFonts w:ascii="Times New Roman" w:eastAsia="方正仿宋_GBK" w:cs="Times New Roman" w:hAnsi="Times New Roman"/>
          <w:sz w:val="32"/>
          <w:szCs w:val="32"/>
          <w:lang w:eastAsia="zh-CN"/>
        </w:rPr>
        <w:t>。</w:t>
      </w:r>
    </w:p>
    <w:p>
      <w:pPr>
        <w:pStyle w:val="20"/>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lang w:val="en-US" w:eastAsia="zh-CN"/>
        </w:rPr>
        <w:t>无</w:t>
      </w:r>
      <w:r>
        <w:rPr>
          <w:rFonts w:ascii="Times New Roman" w:eastAsia="方正仿宋_GBK" w:cs="Times New Roman" w:hAnsi="Times New Roman"/>
          <w:b/>
          <w:bCs/>
          <w:sz w:val="32"/>
          <w:szCs w:val="32"/>
        </w:rPr>
        <w:t>独立</w:t>
      </w:r>
      <w:r>
        <w:rPr>
          <w:rFonts w:ascii="Times New Roman" w:eastAsia="方正仿宋_GBK" w:cs="Times New Roman" w:hAnsi="Times New Roman"/>
          <w:b/>
          <w:bCs/>
          <w:sz w:val="32"/>
          <w:szCs w:val="32"/>
          <w:lang w:eastAsia="zh-CN"/>
        </w:rPr>
        <w:t>主数据管理平台</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b/>
          <w:bCs/>
          <w:sz w:val="32"/>
          <w:szCs w:val="32"/>
        </w:rPr>
        <w:t>凯欣粮油</w:t>
      </w:r>
      <w:r>
        <w:rPr>
          <w:rFonts w:ascii="Times New Roman" w:eastAsia="方正仿宋_GBK" w:cs="Times New Roman" w:hAnsi="Times New Roman"/>
          <w:b/>
          <w:bCs/>
          <w:sz w:val="32"/>
          <w:szCs w:val="32"/>
          <w:lang w:val="en-US" w:eastAsia="zh-CN"/>
        </w:rPr>
        <w:t>及统建8家</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b/>
          <w:bCs/>
          <w:sz w:val="32"/>
          <w:szCs w:val="32"/>
          <w:lang w:eastAsia="zh-CN"/>
        </w:rPr>
        <w:t>凯欣</w:t>
      </w:r>
      <w:r>
        <w:rPr>
          <w:rFonts w:ascii="Times New Roman" w:eastAsia="方正仿宋_GBK" w:cs="Times New Roman" w:hAnsi="Times New Roman"/>
          <w:sz w:val="32"/>
          <w:szCs w:val="32"/>
        </w:rPr>
        <w:t>ERP系统</w:t>
      </w:r>
      <w:r>
        <w:rPr>
          <w:rFonts w:ascii="Times New Roman" w:eastAsia="方正仿宋_GBK" w:cs="Times New Roman" w:hAnsi="Times New Roman"/>
          <w:sz w:val="32"/>
          <w:szCs w:val="32"/>
          <w:lang w:eastAsia="zh-CN"/>
        </w:rPr>
        <w:t>与集团供应链业财一体化系统</w:t>
      </w:r>
      <w:r>
        <w:rPr>
          <w:rFonts w:ascii="Times New Roman" w:eastAsia="方正仿宋_GBK" w:cs="Times New Roman" w:hAnsi="Times New Roman"/>
          <w:sz w:val="32"/>
          <w:szCs w:val="32"/>
        </w:rPr>
        <w:t>作为操作层可信源，物料数据通过</w:t>
      </w:r>
      <w:r>
        <w:rPr>
          <w:rFonts w:ascii="Times New Roman" w:eastAsia="方正仿宋_GBK" w:cs="Times New Roman" w:hAnsi="Times New Roman"/>
          <w:sz w:val="32"/>
          <w:szCs w:val="32"/>
          <w:lang w:eastAsia="zh-CN"/>
        </w:rPr>
        <w:t>上述两系统</w:t>
      </w:r>
      <w:r>
        <w:rPr>
          <w:rFonts w:ascii="Times New Roman" w:eastAsia="方正仿宋_GBK" w:cs="Times New Roman" w:hAnsi="Times New Roman"/>
          <w:sz w:val="32"/>
          <w:szCs w:val="32"/>
        </w:rPr>
        <w:t>→浪潮</w:t>
      </w:r>
      <w:r>
        <w:rPr>
          <w:rFonts w:ascii="Times New Roman" w:eastAsia="方正仿宋_GBK" w:cs="Times New Roman" w:hAnsi="Times New Roman"/>
          <w:sz w:val="32"/>
          <w:szCs w:val="32"/>
          <w:lang w:eastAsia="zh-CN"/>
        </w:rPr>
        <w:t>主数据管理平台（MDM）</w:t>
      </w:r>
      <w:r>
        <w:rPr>
          <w:rFonts w:ascii="Times New Roman" w:eastAsia="方正仿宋_GBK" w:cs="Times New Roman" w:hAnsi="Times New Roman"/>
          <w:sz w:val="32"/>
          <w:szCs w:val="32"/>
        </w:rPr>
        <w:t>→分发回</w:t>
      </w:r>
      <w:r>
        <w:rPr>
          <w:rFonts w:ascii="Times New Roman" w:eastAsia="方正仿宋_GBK" w:cs="Times New Roman" w:hAnsi="Times New Roman"/>
          <w:sz w:val="32"/>
          <w:szCs w:val="32"/>
          <w:lang w:eastAsia="zh-CN"/>
        </w:rPr>
        <w:t>上述两系统</w:t>
      </w:r>
      <w:r>
        <w:rPr>
          <w:rFonts w:ascii="Times New Roman" w:eastAsia="方正仿宋_GBK" w:cs="Times New Roman" w:hAnsi="Times New Roman"/>
          <w:sz w:val="32"/>
          <w:szCs w:val="32"/>
        </w:rPr>
        <w:t>的双向通道管理</w:t>
      </w:r>
      <w:r>
        <w:rPr>
          <w:rFonts w:ascii="Times New Roman" w:eastAsia="方正仿宋_GBK" w:cs="Times New Roman" w:hAnsi="Times New Roman"/>
          <w:sz w:val="32"/>
          <w:szCs w:val="32"/>
          <w:lang w:eastAsia="zh-CN"/>
        </w:rPr>
        <w:t>。</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财务主数据</w:t>
      </w:r>
      <w:r>
        <w:rPr>
          <w:rFonts w:ascii="Times New Roman" w:eastAsia="方正仿宋_GBK" w:cs="Times New Roman" w:hAnsi="Times New Roman"/>
          <w:sz w:val="32"/>
          <w:szCs w:val="32"/>
        </w:rPr>
        <w:t>：沿用集团现有财务主数据标准，含组织、客商、科目、部门人员等，由浪潮</w:t>
      </w:r>
      <w:r>
        <w:rPr>
          <w:rFonts w:ascii="Times New Roman" w:eastAsia="方正仿宋_GBK" w:cs="Times New Roman" w:hAnsi="Times New Roman"/>
          <w:sz w:val="32"/>
          <w:szCs w:val="32"/>
          <w:lang w:eastAsia="zh-CN"/>
        </w:rPr>
        <w:t>主数据管理平台（MDM）</w:t>
      </w:r>
      <w:r>
        <w:rPr>
          <w:rFonts w:ascii="Times New Roman" w:eastAsia="方正仿宋_GBK" w:cs="Times New Roman" w:hAnsi="Times New Roman"/>
          <w:sz w:val="32"/>
          <w:szCs w:val="32"/>
        </w:rPr>
        <w:t>统一管理并分发到浪潮财务系统和统建</w:t>
      </w:r>
      <w:r>
        <w:rPr>
          <w:rFonts w:ascii="Times New Roman" w:eastAsia="方正仿宋_GBK" w:cs="Times New Roman" w:hAnsi="Times New Roman"/>
          <w:sz w:val="32"/>
          <w:szCs w:val="32"/>
          <w:lang w:eastAsia="zh-CN"/>
        </w:rPr>
        <w:t>供应链业财一体化</w:t>
      </w:r>
      <w:r>
        <w:rPr>
          <w:rFonts w:ascii="Times New Roman" w:eastAsia="方正仿宋_GBK" w:cs="Times New Roman" w:hAnsi="Times New Roman"/>
          <w:sz w:val="32"/>
          <w:szCs w:val="32"/>
        </w:rPr>
        <w:t>系统，确保业财主数据标准一致。</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val="0"/>
          <w:bCs w:val="0"/>
          <w:sz w:val="32"/>
          <w:szCs w:val="32"/>
        </w:rPr>
      </w:pPr>
      <w:r>
        <w:rPr>
          <w:rFonts w:ascii="Times New Roman" w:eastAsia="方正仿宋_GBK" w:cs="Times New Roman" w:hAnsi="Times New Roman"/>
          <w:b/>
          <w:bCs/>
          <w:sz w:val="32"/>
          <w:szCs w:val="32"/>
        </w:rPr>
        <w:t>物料主数据：</w:t>
      </w:r>
      <w:r>
        <w:rPr>
          <w:rFonts w:ascii="Times New Roman" w:eastAsia="方正仿宋_GBK" w:cs="Times New Roman" w:hAnsi="Times New Roman"/>
          <w:b w:val="0"/>
          <w:bCs w:val="0"/>
          <w:sz w:val="32"/>
          <w:szCs w:val="32"/>
        </w:rPr>
        <w:t>按照《农投集团统一主数据治理方案》定义的三段式混合编码体系（板块首字母+品类字母+分类码+流水码）执行，在浪潮</w:t>
      </w:r>
      <w:r>
        <w:rPr>
          <w:rFonts w:ascii="Times New Roman" w:eastAsia="方正仿宋_GBK" w:cs="Times New Roman" w:hAnsi="Times New Roman"/>
          <w:b w:val="0"/>
          <w:bCs w:val="0"/>
          <w:sz w:val="32"/>
          <w:szCs w:val="32"/>
          <w:lang w:eastAsia="zh-CN"/>
        </w:rPr>
        <w:t>主数据管理平台（MDM）</w:t>
      </w:r>
      <w:r>
        <w:rPr>
          <w:rFonts w:ascii="Times New Roman" w:eastAsia="方正仿宋_GBK" w:cs="Times New Roman" w:hAnsi="Times New Roman"/>
          <w:b w:val="0"/>
          <w:bCs w:val="0"/>
          <w:sz w:val="32"/>
          <w:szCs w:val="32"/>
        </w:rPr>
        <w:t>中新增物料主数据管理模块，统一编码并分发至统建</w:t>
      </w:r>
      <w:r>
        <w:rPr>
          <w:rFonts w:ascii="Times New Roman" w:eastAsia="方正仿宋_GBK" w:cs="Times New Roman" w:hAnsi="Times New Roman"/>
          <w:b w:val="0"/>
          <w:bCs w:val="0"/>
          <w:sz w:val="32"/>
          <w:szCs w:val="32"/>
          <w:lang w:eastAsia="zh-CN"/>
        </w:rPr>
        <w:t>供应链业财一体化系统</w:t>
      </w:r>
      <w:r>
        <w:rPr>
          <w:rFonts w:ascii="Times New Roman" w:eastAsia="方正仿宋_GBK" w:cs="Times New Roman" w:hAnsi="Times New Roman"/>
          <w:b w:val="0"/>
          <w:bCs w:val="0"/>
          <w:sz w:val="32"/>
          <w:szCs w:val="32"/>
        </w:rPr>
        <w:t>。增量物料由各企业向</w:t>
      </w:r>
      <w:r>
        <w:rPr>
          <w:rFonts w:ascii="Times New Roman" w:eastAsia="方正仿宋_GBK" w:cs="Times New Roman" w:hAnsi="Times New Roman"/>
          <w:b w:val="0"/>
          <w:bCs w:val="0"/>
          <w:sz w:val="32"/>
          <w:szCs w:val="32"/>
          <w:lang w:eastAsia="zh-CN"/>
        </w:rPr>
        <w:t>主数据管理平台（MDM）</w:t>
      </w:r>
      <w:r>
        <w:rPr>
          <w:rFonts w:ascii="Times New Roman" w:eastAsia="方正仿宋_GBK" w:cs="Times New Roman" w:hAnsi="Times New Roman"/>
          <w:b w:val="0"/>
          <w:bCs w:val="0"/>
          <w:sz w:val="32"/>
          <w:szCs w:val="32"/>
        </w:rPr>
        <w:t>提出编码申请，经审批后统一赋码分发。</w:t>
      </w:r>
    </w:p>
    <w:p>
      <w:pPr>
        <w:pStyle w:val="3"/>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bCs/>
          <w:kern w:val="0"/>
          <w:sz w:val="32"/>
          <w:szCs w:val="32"/>
          <w:lang w:val="en-US" w:eastAsia="zh-CN" w:bidi="ar-SA"/>
        </w:rPr>
      </w:pPr>
      <w:r>
        <w:rPr>
          <w:rFonts w:ascii="Times New Roman" w:eastAsia="方正楷体_GBK" w:cs="Times New Roman" w:hAnsi="Times New Roman"/>
          <w:b w:val="0"/>
          <w:bCs/>
          <w:kern w:val="2"/>
          <w:sz w:val="32"/>
          <w:szCs w:val="32"/>
          <w:lang w:val="en-US" w:eastAsia="zh-CN" w:bidi="ar-SA"/>
        </w:rPr>
        <w:t>（二）供应链</w:t>
      </w:r>
      <w:bookmarkEnd w:id="9"/>
      <w:r>
        <w:rPr>
          <w:rFonts w:ascii="Times New Roman" w:eastAsia="方正楷体_GBK" w:cs="Times New Roman" w:hAnsi="Times New Roman"/>
          <w:b w:val="0"/>
          <w:bCs/>
          <w:kern w:val="2"/>
          <w:sz w:val="32"/>
          <w:szCs w:val="32"/>
          <w:lang w:val="en-US" w:eastAsia="zh-CN" w:bidi="ar-SA"/>
        </w:rPr>
        <w:t>业务建设</w:t>
      </w:r>
    </w:p>
    <w:p>
      <w:pPr>
        <w:pStyle w:val="3"/>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kern w:val="2"/>
          <w:sz w:val="32"/>
          <w:szCs w:val="32"/>
          <w:lang w:val="en-US" w:eastAsia="zh-CN" w:bidi="ar-SA"/>
        </w:rPr>
      </w:pPr>
      <w:r>
        <w:rPr>
          <w:rFonts w:ascii="Times New Roman" w:eastAsia="方正仿宋_GBK" w:cs="Times New Roman" w:hAnsi="Times New Roman"/>
          <w:b/>
          <w:kern w:val="2"/>
          <w:sz w:val="32"/>
          <w:szCs w:val="32"/>
          <w:lang w:val="en-US" w:eastAsia="zh-CN" w:bidi="ar-SA"/>
        </w:rPr>
        <w:t>1.采购管理</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采购管理模块需围绕“需求驱动、计划控制、过程透明、结果可控”的目标，实现采购业务的从采购申请、采购价目表、采购订单、到货入库、发票处理、采购结算等全过程业务流程，具备灵活的配置能力，适配企业不同场景下的业务策略与流程制度，助力企业规范采购行为、降低采购成本、保障供货及时性。</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采购管理主要功能如下：</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采购流程管理：</w:t>
      </w:r>
      <w:r>
        <w:rPr>
          <w:rFonts w:ascii="Times New Roman" w:eastAsia="方正仿宋_GBK" w:cs="Times New Roman" w:hAnsi="Times New Roman"/>
          <w:sz w:val="32"/>
          <w:szCs w:val="32"/>
        </w:rPr>
        <w:t>支持从采购申请、审核、订单下达、到货确认、采购入库、采购发票到结算付款的完整采购闭环；支持灵活配置不同业务场景（如现货采购、计划采购、紧急采购、委外采购等）的流程路径与审批机制</w:t>
      </w:r>
      <w:r>
        <w:rPr>
          <w:rFonts w:ascii="Times New Roman" w:eastAsia="方正仿宋_GBK" w:cs="Times New Roman" w:hAnsi="Times New Roman"/>
          <w:sz w:val="32"/>
          <w:szCs w:val="32"/>
          <w:lang w:eastAsia="zh-CN"/>
        </w:rPr>
        <w:t>。</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采购价格管理：</w:t>
      </w:r>
      <w:r>
        <w:rPr>
          <w:rFonts w:ascii="Times New Roman" w:eastAsia="方正仿宋_GBK" w:cs="Times New Roman" w:hAnsi="Times New Roman"/>
          <w:sz w:val="32"/>
          <w:szCs w:val="32"/>
        </w:rPr>
        <w:t>支持物料采购价格清单，实现价格变动的历史记录追溯，保障采购价格的可控性与透明度</w:t>
      </w:r>
      <w:r>
        <w:rPr>
          <w:rFonts w:ascii="Times New Roman" w:eastAsia="方正仿宋_GBK" w:cs="Times New Roman" w:hAnsi="Times New Roman"/>
          <w:sz w:val="32"/>
          <w:szCs w:val="32"/>
          <w:lang w:eastAsia="zh-CN"/>
        </w:rPr>
        <w:t>。</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到货与库存联动：</w:t>
      </w:r>
      <w:r>
        <w:rPr>
          <w:rFonts w:ascii="Times New Roman" w:eastAsia="方正仿宋_GBK" w:cs="Times New Roman" w:hAnsi="Times New Roman"/>
          <w:sz w:val="32"/>
          <w:szCs w:val="32"/>
        </w:rPr>
        <w:t>采购到货后，系统与库存模块联动，实现参照采购订单或采购到货单自动生成入库单，支持批次管理、不合格品等处理机制</w:t>
      </w:r>
      <w:r>
        <w:rPr>
          <w:rFonts w:ascii="Times New Roman" w:eastAsia="方正仿宋_GBK" w:cs="Times New Roman" w:hAnsi="Times New Roman"/>
          <w:sz w:val="32"/>
          <w:szCs w:val="32"/>
          <w:lang w:eastAsia="zh-CN"/>
        </w:rPr>
        <w:t>。</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采购发票与财务集成：</w:t>
      </w:r>
      <w:r>
        <w:rPr>
          <w:rFonts w:ascii="Times New Roman" w:eastAsia="方正仿宋_GBK" w:cs="Times New Roman" w:hAnsi="Times New Roman"/>
          <w:sz w:val="32"/>
          <w:szCs w:val="32"/>
        </w:rPr>
        <w:t>系统生成采购发票信息，支持与供应商发票核对、三单匹配（订单、到货、发票）处理；与应付账款模块集成，实现应付登记、预付款抵扣、付款申请、票据处理及财务凭证自动生成，构建“业财”一体化闭环</w:t>
      </w:r>
      <w:r>
        <w:rPr>
          <w:rFonts w:ascii="Times New Roman" w:eastAsia="方正仿宋_GBK" w:cs="Times New Roman" w:hAnsi="Times New Roman"/>
          <w:sz w:val="32"/>
          <w:szCs w:val="32"/>
          <w:lang w:eastAsia="zh-CN"/>
        </w:rPr>
        <w:t>。</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采购暂估处理：</w:t>
      </w:r>
      <w:r>
        <w:rPr>
          <w:rFonts w:ascii="Times New Roman" w:eastAsia="方正仿宋_GBK" w:cs="Times New Roman" w:hAnsi="Times New Roman"/>
          <w:sz w:val="32"/>
          <w:szCs w:val="32"/>
        </w:rPr>
        <w:t>采购货物发票或费用发票未到时，对采购货物、费用进行暂估，支持按照多种模式的采购暂估业务，包括票到回冲、票到补差、月底回冲等。</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采购报表：</w:t>
      </w:r>
      <w:r>
        <w:rPr>
          <w:rFonts w:ascii="Times New Roman" w:eastAsia="方正仿宋_GBK" w:cs="Times New Roman" w:hAnsi="Times New Roman"/>
          <w:sz w:val="32"/>
          <w:szCs w:val="32"/>
        </w:rPr>
        <w:t>提供各类统计报表，包括请购执行进度表、请购统计表、采购订单执行统计表、采购执行进度表、采购订单预警和报警、到货统计、入库统计、发票统计、采购结算余额表、未完业务明细表、采购金额排名、采购金额趋势分析、供应商到货及时率排名等。</w:t>
      </w:r>
      <w:bookmarkStart w:id="10" w:name="_Toc235194883"/>
    </w:p>
    <w:p>
      <w:pPr>
        <w:pStyle w:val="3"/>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kern w:val="2"/>
          <w:sz w:val="32"/>
          <w:szCs w:val="32"/>
          <w:lang w:val="en-US" w:eastAsia="zh-CN" w:bidi="ar-SA"/>
        </w:rPr>
      </w:pPr>
      <w:r>
        <w:rPr>
          <w:rFonts w:ascii="Times New Roman" w:eastAsia="方正仿宋_GBK" w:cs="Times New Roman" w:hAnsi="Times New Roman"/>
          <w:b/>
          <w:kern w:val="2"/>
          <w:sz w:val="32"/>
          <w:szCs w:val="32"/>
          <w:lang w:val="en-US" w:eastAsia="zh-CN" w:bidi="ar-SA"/>
        </w:rPr>
        <w:t>2.销售管理</w:t>
      </w:r>
      <w:bookmarkEnd w:id="10"/>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销售管理模块，通过全面的交易类型和灵活的业务流程配置，支持农投集团多组织、多元化经营下各种销售业务处理规则和业务流转模型，提供销售订单、发货、开票的完整销售全过程的管理业务，支持普通销售、分期收款、销售退货等多种类型的销售业务并可对销售价格和信用进行实时监控。</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销售管理主要功能如下：</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完整销售流程管理：</w:t>
      </w:r>
      <w:r>
        <w:rPr>
          <w:rFonts w:ascii="Times New Roman" w:eastAsia="方正仿宋_GBK" w:cs="Times New Roman" w:hAnsi="Times New Roman"/>
          <w:sz w:val="32"/>
          <w:szCs w:val="32"/>
        </w:rPr>
        <w:t>涵盖销售报价、销售合同、订单处理、发货管理、开票管理及收款管理，确保从报价到收款的全链条业务闭环，支持订单变更、作废及多样化付款方式，保障销售业务灵活、高效。</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多类型销售业务支持：</w:t>
      </w:r>
      <w:r>
        <w:rPr>
          <w:rFonts w:ascii="Times New Roman" w:eastAsia="方正仿宋_GBK" w:cs="Times New Roman" w:hAnsi="Times New Roman"/>
          <w:sz w:val="32"/>
          <w:szCs w:val="32"/>
        </w:rPr>
        <w:t>支持普通销售、分期收款、销售退货、预售订单、寄售及委托代销等多种销售模式，满足不同企业，不同客户和市场需求。</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销售业务全流程控制与跟踪：</w:t>
      </w:r>
      <w:r>
        <w:rPr>
          <w:rFonts w:ascii="Times New Roman" w:eastAsia="方正仿宋_GBK" w:cs="Times New Roman" w:hAnsi="Times New Roman"/>
          <w:sz w:val="32"/>
          <w:szCs w:val="32"/>
        </w:rPr>
        <w:t>实现销售订单从创建、审批、发货、开票到收款的全流程监控，支持业务进度跟踪、异常预警及合同执行情况分析，保障业务透明与合规。</w:t>
      </w:r>
    </w:p>
    <w:p>
      <w:pPr>
        <w:pStyle w:val="57"/>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bCs/>
          <w:kern w:val="0"/>
          <w:sz w:val="32"/>
          <w:szCs w:val="32"/>
          <w:lang w:val="en-US" w:eastAsia="zh-CN" w:bidi="ar-SA"/>
        </w:rPr>
      </w:pPr>
      <w:r>
        <w:rPr>
          <w:rFonts w:ascii="Times New Roman" w:eastAsia="方正仿宋_GBK" w:cs="Times New Roman" w:hAnsi="Times New Roman"/>
          <w:b/>
          <w:bCs/>
          <w:sz w:val="32"/>
          <w:szCs w:val="32"/>
        </w:rPr>
        <w:t>销售报表：</w:t>
      </w:r>
      <w:r>
        <w:rPr>
          <w:rFonts w:ascii="Times New Roman" w:eastAsia="方正仿宋_GBK" w:cs="Times New Roman" w:hAnsi="Times New Roman"/>
          <w:sz w:val="32"/>
          <w:szCs w:val="32"/>
        </w:rPr>
        <w:t>系统提供各类销售统计报表，包含订货统计表、发货统计表、欠货明细表、订单执行情况统计表、订单发货预警与报警等。</w:t>
      </w:r>
    </w:p>
    <w:p>
      <w:pPr>
        <w:pStyle w:val="3"/>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kern w:val="2"/>
          <w:sz w:val="32"/>
          <w:szCs w:val="32"/>
          <w:lang w:val="en-US" w:eastAsia="zh-CN" w:bidi="ar-SA"/>
        </w:rPr>
      </w:pPr>
      <w:r>
        <w:rPr>
          <w:rFonts w:ascii="Times New Roman" w:eastAsia="方正仿宋_GBK" w:cs="Times New Roman" w:hAnsi="Times New Roman"/>
          <w:b/>
          <w:kern w:val="2"/>
          <w:sz w:val="32"/>
          <w:szCs w:val="32"/>
          <w:lang w:val="en-US" w:eastAsia="zh-CN" w:bidi="ar-SA"/>
        </w:rPr>
        <w:t>3.库存管理</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库存管理模块需以“库存结构合理、库存信息实时、库存周转高效”为核心目标，实现对库存全过程、全环节的动态掌控和协同联动，支撑企业优化库存结构、降低持有成本、提升履约能力与供应链敏捷性，进而增强企业整体运营效率与市场竞争力。</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库存管理主要功能如下：</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库存业务处理：</w:t>
      </w:r>
      <w:r>
        <w:rPr>
          <w:rFonts w:ascii="Times New Roman" w:eastAsia="方正仿宋_GBK" w:cs="Times New Roman" w:hAnsi="Times New Roman"/>
          <w:sz w:val="32"/>
          <w:szCs w:val="32"/>
        </w:rPr>
        <w:t>支持对各类收发作业（采购入库、销售出库、生产领退料、其他收发等）的单据管理</w:t>
      </w:r>
      <w:r>
        <w:rPr>
          <w:rFonts w:ascii="Times New Roman" w:eastAsia="方正仿宋_GBK" w:cs="Times New Roman" w:hAnsi="Times New Roman"/>
          <w:sz w:val="32"/>
          <w:szCs w:val="32"/>
          <w:lang w:eastAsia="zh-CN"/>
        </w:rPr>
        <w:t>。</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仓储结构与策略配置：</w:t>
      </w:r>
      <w:r>
        <w:rPr>
          <w:rFonts w:ascii="Times New Roman" w:eastAsia="方正仿宋_GBK" w:cs="Times New Roman" w:hAnsi="Times New Roman"/>
          <w:sz w:val="32"/>
          <w:szCs w:val="32"/>
        </w:rPr>
        <w:t>需支持仓库分区、库位绑定、先进先出、指定库位等策略灵活配置；支持不同业务模式下的独立库存核算（如自营、寄售、代销、委外）</w:t>
      </w:r>
      <w:r>
        <w:rPr>
          <w:rFonts w:ascii="Times New Roman" w:eastAsia="方正仿宋_GBK" w:cs="Times New Roman" w:hAnsi="Times New Roman"/>
          <w:sz w:val="32"/>
          <w:szCs w:val="32"/>
          <w:lang w:eastAsia="zh-CN"/>
        </w:rPr>
        <w:t>。</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库存控制机制：</w:t>
      </w:r>
      <w:r>
        <w:rPr>
          <w:rFonts w:ascii="Times New Roman" w:eastAsia="方正仿宋_GBK" w:cs="Times New Roman" w:hAnsi="Times New Roman"/>
          <w:sz w:val="32"/>
          <w:szCs w:val="32"/>
        </w:rPr>
        <w:t>支持库存冻结与锁定控制机制（含财务冻结、质检冻结、超账期冻结等）；可设定物料的安全库存、最高/最低库存等预警参数，系统根据实际库存动态自动预警</w:t>
      </w:r>
      <w:r>
        <w:rPr>
          <w:rFonts w:ascii="Times New Roman" w:eastAsia="方正仿宋_GBK" w:cs="Times New Roman" w:hAnsi="Times New Roman"/>
          <w:sz w:val="32"/>
          <w:szCs w:val="32"/>
          <w:lang w:eastAsia="zh-CN"/>
        </w:rPr>
        <w:t>。</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库存盘点与调整：</w:t>
      </w:r>
      <w:r>
        <w:rPr>
          <w:rFonts w:ascii="Times New Roman" w:eastAsia="方正仿宋_GBK" w:cs="Times New Roman" w:hAnsi="Times New Roman"/>
          <w:sz w:val="32"/>
          <w:szCs w:val="32"/>
        </w:rPr>
        <w:t>支持定期与不定期盘点流程，支持盘盈盘亏分析与差异自动生成调整单；系统比对与调整库存账实差异</w:t>
      </w:r>
      <w:r>
        <w:rPr>
          <w:rFonts w:ascii="Times New Roman" w:eastAsia="方正仿宋_GBK" w:cs="Times New Roman" w:hAnsi="Times New Roman"/>
          <w:sz w:val="32"/>
          <w:szCs w:val="32"/>
          <w:lang w:eastAsia="zh-CN"/>
        </w:rPr>
        <w:t>。</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异常库存识别与处置：</w:t>
      </w:r>
      <w:r>
        <w:rPr>
          <w:rFonts w:ascii="Times New Roman" w:eastAsia="方正仿宋_GBK" w:cs="Times New Roman" w:hAnsi="Times New Roman"/>
          <w:sz w:val="32"/>
          <w:szCs w:val="32"/>
        </w:rPr>
        <w:t>根据规则识别滞销库存、临期物料、呆滞料、负库存、超储库存等异常库存状态</w:t>
      </w:r>
      <w:r>
        <w:rPr>
          <w:rFonts w:ascii="Times New Roman" w:eastAsia="方正仿宋_GBK" w:cs="Times New Roman" w:hAnsi="Times New Roman"/>
          <w:sz w:val="32"/>
          <w:szCs w:val="32"/>
          <w:lang w:eastAsia="zh-CN"/>
        </w:rPr>
        <w:t>。</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库存调拨与优化：</w:t>
      </w:r>
      <w:r>
        <w:rPr>
          <w:rFonts w:ascii="Times New Roman" w:eastAsia="方正仿宋_GBK" w:cs="Times New Roman" w:hAnsi="Times New Roman"/>
          <w:sz w:val="32"/>
          <w:szCs w:val="32"/>
        </w:rPr>
        <w:t>支持跨组织、跨仓库、跨地区的调拨业务；可结合销售需求、计划数据自动建议库存调拨路径，实现库存资源优化配置</w:t>
      </w:r>
      <w:r>
        <w:rPr>
          <w:rFonts w:ascii="Times New Roman" w:eastAsia="方正仿宋_GBK" w:cs="Times New Roman" w:hAnsi="Times New Roman"/>
          <w:sz w:val="32"/>
          <w:szCs w:val="32"/>
          <w:lang w:eastAsia="zh-CN"/>
        </w:rPr>
        <w:t>。</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库存报表：</w:t>
      </w:r>
      <w:r>
        <w:rPr>
          <w:rFonts w:ascii="Times New Roman" w:eastAsia="方正仿宋_GBK" w:cs="Times New Roman" w:hAnsi="Times New Roman"/>
          <w:sz w:val="32"/>
          <w:szCs w:val="32"/>
        </w:rPr>
        <w:t>提供库存各类统计报表，包括现存量分析、库存收发存汇总表、库龄分析、呆滞分析等。</w:t>
      </w:r>
    </w:p>
    <w:p>
      <w:pPr>
        <w:pStyle w:val="3"/>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kern w:val="2"/>
          <w:sz w:val="32"/>
          <w:szCs w:val="32"/>
          <w:lang w:val="en-US" w:eastAsia="zh-CN" w:bidi="ar-SA"/>
        </w:rPr>
      </w:pPr>
      <w:r>
        <w:rPr>
          <w:rFonts w:ascii="Times New Roman" w:eastAsia="方正仿宋_GBK" w:cs="Times New Roman" w:hAnsi="Times New Roman"/>
          <w:b/>
          <w:kern w:val="2"/>
          <w:sz w:val="32"/>
          <w:szCs w:val="32"/>
          <w:lang w:val="en-US" w:eastAsia="zh-CN" w:bidi="ar-SA"/>
        </w:rPr>
        <w:t>4.移动供应链管理</w:t>
      </w:r>
    </w:p>
    <w:p>
      <w:pPr>
        <w:pageBreakBefore w:val="0"/>
        <w:widowControl/>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i w:val="0"/>
          <w:iCs w:val="0"/>
          <w:caps w:val="0"/>
          <w:smallCaps w:val="0"/>
          <w:spacing w:val="0"/>
          <w:kern w:val="2"/>
          <w:sz w:val="32"/>
          <w:szCs w:val="32"/>
          <w:shd w:val="clear" w:color="auto" w:fill="auto"/>
          <w:lang w:val="en-US" w:eastAsia="zh-CN" w:bidi="ar-SA"/>
        </w:rPr>
        <w:t>移动供应链管理模块是为满足销售、采购和库存业务的简单录入、审批、查看需求的移动端功能</w:t>
      </w:r>
      <w:r>
        <w:rPr>
          <w:rFonts w:ascii="Times New Roman" w:eastAsia="方正仿宋_GBK" w:cs="Times New Roman" w:hAnsi="Times New Roman"/>
          <w:b/>
          <w:kern w:val="2"/>
          <w:sz w:val="32"/>
          <w:szCs w:val="32"/>
          <w:lang w:val="en-US" w:eastAsia="zh-CN" w:bidi="ar-SA"/>
        </w:rPr>
        <w:t>，</w:t>
      </w:r>
      <w:r>
        <w:rPr>
          <w:rFonts w:ascii="Times New Roman" w:eastAsia="方正仿宋_GBK" w:cs="Times New Roman" w:hAnsi="Times New Roman"/>
          <w:sz w:val="32"/>
          <w:szCs w:val="32"/>
        </w:rPr>
        <w:t>主要功能如下：</w:t>
      </w:r>
    </w:p>
    <w:p>
      <w:pPr>
        <w:pageBreakBefore w:val="0"/>
        <w:widowControl/>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b/>
          <w:bCs/>
          <w:sz w:val="32"/>
          <w:szCs w:val="32"/>
          <w:lang w:val="en-US" w:eastAsia="zh-CN"/>
        </w:rPr>
        <w:t>移动销售：</w:t>
      </w:r>
      <w:r>
        <w:rPr>
          <w:rFonts w:ascii="Times New Roman" w:eastAsia="方正仿宋_GBK" w:cs="Times New Roman" w:hAnsi="Times New Roman"/>
          <w:i w:val="0"/>
          <w:iCs w:val="0"/>
          <w:caps w:val="0"/>
          <w:smallCaps w:val="0"/>
          <w:spacing w:val="0"/>
          <w:sz w:val="32"/>
          <w:szCs w:val="32"/>
          <w:shd w:val="clear" w:color="auto" w:fill="auto"/>
        </w:rPr>
        <w:t>覆盖从销售合同签订到销售出库的</w:t>
      </w:r>
      <w:r>
        <w:rPr>
          <w:rFonts w:ascii="Times New Roman" w:eastAsia="方正仿宋_GBK" w:cs="Times New Roman" w:hAnsi="Times New Roman"/>
          <w:i w:val="0"/>
          <w:iCs w:val="0"/>
          <w:caps w:val="0"/>
          <w:smallCaps w:val="0"/>
          <w:spacing w:val="0"/>
          <w:kern w:val="2"/>
          <w:sz w:val="32"/>
          <w:szCs w:val="32"/>
          <w:shd w:val="clear" w:color="auto" w:fill="auto"/>
          <w:lang w:val="en-US" w:eastAsia="zh-CN" w:bidi="ar-SA"/>
        </w:rPr>
        <w:t>全流程移动化管理，</w:t>
      </w:r>
      <w:r>
        <w:rPr>
          <w:rFonts w:ascii="Times New Roman" w:eastAsia="方正仿宋_GBK" w:cs="Times New Roman" w:hAnsi="Times New Roman"/>
          <w:i w:val="0"/>
          <w:iCs w:val="0"/>
          <w:caps w:val="0"/>
          <w:smallCaps w:val="0"/>
          <w:spacing w:val="0"/>
          <w:sz w:val="32"/>
          <w:szCs w:val="32"/>
          <w:shd w:val="clear" w:color="auto" w:fill="auto"/>
        </w:rPr>
        <w:t>销售人员可以通过移动设备实时查看客户信息、产品库存等关键数据，随时随地完成订单录入、合同审批、发货确认等操作。</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lang w:val="en-US" w:eastAsia="zh-CN"/>
        </w:rPr>
        <w:t>移动采购：</w:t>
      </w:r>
      <w:r>
        <w:rPr>
          <w:rFonts w:ascii="Times New Roman" w:eastAsia="方正仿宋_GBK" w:cs="Times New Roman" w:hAnsi="Times New Roman"/>
          <w:i w:val="0"/>
          <w:iCs w:val="0"/>
          <w:caps w:val="0"/>
          <w:smallCaps w:val="0"/>
          <w:spacing w:val="0"/>
          <w:sz w:val="32"/>
          <w:szCs w:val="32"/>
          <w:shd w:val="clear" w:color="auto" w:fill="auto"/>
        </w:rPr>
        <w:t>覆盖</w:t>
      </w:r>
      <w:r>
        <w:rPr>
          <w:rFonts w:ascii="Times New Roman" w:eastAsia="方正仿宋_GBK" w:cs="Times New Roman" w:hAnsi="Times New Roman"/>
          <w:i w:val="0"/>
          <w:iCs w:val="0"/>
          <w:caps w:val="0"/>
          <w:smallCaps w:val="0"/>
          <w:spacing w:val="0"/>
          <w:kern w:val="2"/>
          <w:sz w:val="32"/>
          <w:szCs w:val="32"/>
          <w:shd w:val="clear" w:color="auto" w:fill="auto"/>
          <w:lang w:val="en-US" w:eastAsia="zh-CN" w:bidi="ar-SA"/>
        </w:rPr>
        <w:t>从采购合同签订到采购入库的全流程移动化管理，采购人员可以通过移动设备随时查看供应商信息、采购订单状态、到货情况等关键信息，快速完成采购申请、订单确认、收货验收等业务操作。</w:t>
      </w:r>
    </w:p>
    <w:p>
      <w:pPr>
        <w:pStyle w:val="57"/>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bCs/>
          <w:kern w:val="0"/>
          <w:sz w:val="32"/>
          <w:szCs w:val="32"/>
          <w:lang w:val="en-US" w:eastAsia="zh-CN" w:bidi="ar-SA"/>
        </w:rPr>
      </w:pPr>
      <w:r>
        <w:rPr>
          <w:rFonts w:ascii="Times New Roman" w:eastAsia="方正仿宋_GBK" w:cs="Times New Roman" w:hAnsi="Times New Roman"/>
          <w:b/>
          <w:bCs/>
          <w:sz w:val="32"/>
          <w:szCs w:val="32"/>
          <w:lang w:val="en-US" w:eastAsia="zh-CN"/>
        </w:rPr>
        <w:t>移动</w:t>
      </w:r>
      <w:r>
        <w:rPr>
          <w:rFonts w:ascii="Times New Roman" w:eastAsia="方正仿宋_GBK" w:cs="Times New Roman" w:hAnsi="Times New Roman"/>
          <w:b/>
          <w:bCs/>
          <w:sz w:val="32"/>
          <w:szCs w:val="32"/>
        </w:rPr>
        <w:t>库存</w:t>
      </w:r>
      <w:r>
        <w:rPr>
          <w:rFonts w:ascii="Times New Roman" w:eastAsia="方正仿宋_GBK" w:cs="Times New Roman" w:hAnsi="Times New Roman"/>
          <w:b/>
          <w:bCs/>
          <w:sz w:val="32"/>
          <w:szCs w:val="32"/>
          <w:lang w:val="en-US" w:eastAsia="zh-CN"/>
        </w:rPr>
        <w:t>管理</w:t>
      </w:r>
      <w:r>
        <w:rPr>
          <w:rFonts w:ascii="Times New Roman" w:eastAsia="方正仿宋_GBK" w:cs="Times New Roman" w:hAnsi="Times New Roman"/>
          <w:b/>
          <w:bCs/>
          <w:sz w:val="32"/>
          <w:szCs w:val="32"/>
        </w:rPr>
        <w:t>：</w:t>
      </w:r>
      <w:r>
        <w:rPr>
          <w:rFonts w:ascii="Times New Roman" w:eastAsia="方正仿宋_GBK" w:cs="Times New Roman" w:hAnsi="Times New Roman"/>
          <w:sz w:val="32"/>
          <w:szCs w:val="32"/>
        </w:rPr>
        <w:t>支持对各类收发作业（采购</w:t>
      </w:r>
      <w:r>
        <w:rPr>
          <w:rFonts w:ascii="Times New Roman" w:eastAsia="方正仿宋_GBK" w:cs="Times New Roman" w:hAnsi="Times New Roman"/>
          <w:sz w:val="32"/>
          <w:szCs w:val="32"/>
          <w:lang w:val="en-US" w:eastAsia="zh-CN"/>
        </w:rPr>
        <w:t>出</w:t>
      </w:r>
      <w:r>
        <w:rPr>
          <w:rFonts w:ascii="Times New Roman" w:eastAsia="方正仿宋_GBK" w:cs="Times New Roman" w:hAnsi="Times New Roman"/>
          <w:sz w:val="32"/>
          <w:szCs w:val="32"/>
        </w:rPr>
        <w:t>入库、销售出</w:t>
      </w:r>
      <w:r>
        <w:rPr>
          <w:rFonts w:ascii="Times New Roman" w:eastAsia="方正仿宋_GBK" w:cs="Times New Roman" w:hAnsi="Times New Roman"/>
          <w:sz w:val="32"/>
          <w:szCs w:val="32"/>
          <w:lang w:val="en-US" w:eastAsia="zh-CN"/>
        </w:rPr>
        <w:t>入</w:t>
      </w:r>
      <w:r>
        <w:rPr>
          <w:rFonts w:ascii="Times New Roman" w:eastAsia="方正仿宋_GBK" w:cs="Times New Roman" w:hAnsi="Times New Roman"/>
          <w:sz w:val="32"/>
          <w:szCs w:val="32"/>
        </w:rPr>
        <w:t>库、其他</w:t>
      </w:r>
      <w:r>
        <w:rPr>
          <w:rFonts w:ascii="Times New Roman" w:eastAsia="方正仿宋_GBK" w:cs="Times New Roman" w:hAnsi="Times New Roman"/>
          <w:sz w:val="32"/>
          <w:szCs w:val="32"/>
          <w:lang w:val="en-US" w:eastAsia="zh-CN"/>
        </w:rPr>
        <w:t>出入库</w:t>
      </w:r>
      <w:r>
        <w:rPr>
          <w:rFonts w:ascii="Times New Roman" w:eastAsia="方正仿宋_GBK" w:cs="Times New Roman" w:hAnsi="Times New Roman"/>
          <w:sz w:val="32"/>
          <w:szCs w:val="32"/>
        </w:rPr>
        <w:t>）的单据</w:t>
      </w:r>
      <w:r>
        <w:rPr>
          <w:rFonts w:ascii="Times New Roman" w:eastAsia="方正仿宋_GBK" w:cs="Times New Roman" w:hAnsi="Times New Roman"/>
          <w:sz w:val="32"/>
          <w:szCs w:val="32"/>
          <w:lang w:val="en-US" w:eastAsia="zh-CN"/>
        </w:rPr>
        <w:t>移动化</w:t>
      </w:r>
      <w:r>
        <w:rPr>
          <w:rFonts w:ascii="Times New Roman" w:eastAsia="方正仿宋_GBK" w:cs="Times New Roman" w:hAnsi="Times New Roman"/>
          <w:sz w:val="32"/>
          <w:szCs w:val="32"/>
        </w:rPr>
        <w:t>管理</w:t>
      </w:r>
      <w:r>
        <w:rPr>
          <w:rFonts w:ascii="Times New Roman" w:eastAsia="方正仿宋_GBK" w:cs="Times New Roman" w:hAnsi="Times New Roman"/>
          <w:sz w:val="32"/>
          <w:szCs w:val="32"/>
          <w:lang w:eastAsia="zh-CN"/>
        </w:rPr>
        <w:t>，</w:t>
      </w:r>
      <w:r>
        <w:rPr>
          <w:rFonts w:ascii="Times New Roman" w:eastAsia="方正仿宋_GBK" w:cs="Times New Roman" w:hAnsi="Times New Roman"/>
          <w:i w:val="0"/>
          <w:iCs w:val="0"/>
          <w:caps w:val="0"/>
          <w:smallCaps w:val="0"/>
          <w:spacing w:val="0"/>
          <w:kern w:val="2"/>
          <w:sz w:val="32"/>
          <w:szCs w:val="32"/>
          <w:shd w:val="clear" w:color="auto" w:fill="auto"/>
          <w:lang w:val="en-US" w:eastAsia="zh-CN" w:bidi="ar-SA"/>
        </w:rPr>
        <w:t>仓库管理人员可以通过移动设备实时进行库存盘点、货物收发、库位调整等操作。</w:t>
      </w:r>
    </w:p>
    <w:p>
      <w:pPr>
        <w:pStyle w:val="3"/>
        <w:keepNext/>
        <w:keepLines/>
        <w:pageBreakBefore w:val="0"/>
        <w:widowControl w:val="0"/>
        <w:tabs>
          <w:tab w:val="left" w:pos="611"/>
        </w:tabs>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lang w:val="en-US" w:eastAsia="zh-CN"/>
        </w:rPr>
        <w:t>5.客商管理</w:t>
      </w:r>
    </w:p>
    <w:p>
      <w:pPr>
        <w:pStyle w:val="57"/>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val="0"/>
          <w:kern w:val="0"/>
          <w:sz w:val="32"/>
          <w:szCs w:val="32"/>
          <w:lang w:val="en-US" w:eastAsia="zh-CN" w:bidi="ar-SA"/>
        </w:rPr>
      </w:pPr>
      <w:r>
        <w:rPr>
          <w:rFonts w:ascii="Times New Roman" w:eastAsia="方正仿宋_GBK" w:cs="Times New Roman" w:hAnsi="Times New Roman"/>
          <w:b w:val="0"/>
          <w:kern w:val="0"/>
          <w:sz w:val="32"/>
          <w:szCs w:val="32"/>
          <w:lang w:val="en-US" w:eastAsia="zh-CN" w:bidi="ar-SA"/>
        </w:rPr>
        <w:t>客商标准在</w:t>
      </w:r>
      <w:r>
        <w:rPr>
          <w:rFonts w:ascii="Times New Roman" w:eastAsia="方正仿宋_GBK" w:cs="Times New Roman" w:hAnsi="Times New Roman"/>
          <w:b w:val="0"/>
          <w:kern w:val="0"/>
          <w:sz w:val="32"/>
          <w:szCs w:val="32"/>
          <w:lang w:val="en-US" w:eastAsia="zh-CN" w:bidi="ar-SA"/>
        </w:rPr>
        <w:t>主数据管理平台（MDM）</w:t>
      </w:r>
      <w:r>
        <w:rPr>
          <w:rFonts w:ascii="Times New Roman" w:eastAsia="方正仿宋_GBK" w:cs="Times New Roman" w:hAnsi="Times New Roman"/>
          <w:b w:val="0"/>
          <w:kern w:val="0"/>
          <w:sz w:val="32"/>
          <w:szCs w:val="32"/>
          <w:lang w:val="en-US" w:eastAsia="zh-CN" w:bidi="ar-SA"/>
        </w:rPr>
        <w:t>统一管理，客商业务的属性（账期、信用、等级分类等）在统建</w:t>
      </w:r>
      <w:r>
        <w:rPr>
          <w:rFonts w:ascii="Times New Roman" w:eastAsia="方正仿宋_GBK" w:cs="Times New Roman" w:hAnsi="Times New Roman"/>
          <w:b w:val="0"/>
          <w:kern w:val="0"/>
          <w:sz w:val="32"/>
          <w:szCs w:val="32"/>
          <w:lang w:val="en-US" w:eastAsia="zh-CN" w:bidi="ar-SA"/>
        </w:rPr>
        <w:t>供应链业财一体化系统</w:t>
      </w:r>
      <w:r>
        <w:rPr>
          <w:rFonts w:ascii="Times New Roman" w:eastAsia="方正仿宋_GBK" w:cs="Times New Roman" w:hAnsi="Times New Roman"/>
          <w:b w:val="0"/>
          <w:kern w:val="0"/>
          <w:sz w:val="32"/>
          <w:szCs w:val="32"/>
          <w:lang w:val="en-US" w:eastAsia="zh-CN" w:bidi="ar-SA"/>
        </w:rPr>
        <w:t>中扩展</w:t>
      </w:r>
      <w:r>
        <w:rPr>
          <w:rFonts w:ascii="Times New Roman" w:eastAsia="方正仿宋_GBK" w:cs="Times New Roman" w:hAnsi="Times New Roman"/>
          <w:b w:val="0"/>
          <w:kern w:val="0"/>
          <w:sz w:val="32"/>
          <w:szCs w:val="32"/>
          <w:lang w:val="en-US" w:eastAsia="zh-CN" w:bidi="ar-SA"/>
        </w:rPr>
        <w:t>。</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通过设置额度类型、信用额度、账期等相关信用数据，在销售业务过程中进行信用额度和账期检查，规避赊销风险、坏账风险等。</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建立客户信用额度与账期控制规则（授信额度、账期控制、超额预警、黑名单管理），支持对超限、超期应收自动预警、冻结业务、发送催收提醒等措施；可按客户、业务员、地区、产品等维度进行应收账龄分析与风险评估。</w:t>
      </w:r>
      <w:bookmarkStart w:id="11" w:name="_Toc235194885"/>
    </w:p>
    <w:p>
      <w:pPr>
        <w:pStyle w:val="3"/>
        <w:keepNext/>
        <w:keepLines/>
        <w:pageBreakBefore w:val="0"/>
        <w:widowControl w:val="0"/>
        <w:tabs>
          <w:tab w:val="left" w:pos="611"/>
        </w:tabs>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val="en-US" w:eastAsia="zh-CN"/>
        </w:rPr>
      </w:pPr>
      <w:bookmarkEnd w:id="11"/>
      <w:r>
        <w:rPr>
          <w:rFonts w:ascii="Times New Roman" w:eastAsia="方正仿宋_GBK" w:cs="Times New Roman" w:hAnsi="Times New Roman"/>
          <w:sz w:val="32"/>
          <w:szCs w:val="32"/>
          <w:lang w:val="en-US" w:eastAsia="zh-CN"/>
        </w:rPr>
        <w:t>6.合同管理（采购合同、销售合同）</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lang w:eastAsia="zh-CN"/>
        </w:rPr>
        <w:t>（</w:t>
      </w:r>
      <w:r>
        <w:rPr>
          <w:rFonts w:ascii="Times New Roman" w:eastAsia="方正仿宋_GBK" w:cs="Times New Roman" w:hAnsi="Times New Roman"/>
          <w:b/>
          <w:bCs/>
          <w:sz w:val="32"/>
          <w:szCs w:val="32"/>
          <w:lang w:val="en-US" w:eastAsia="zh-CN"/>
        </w:rPr>
        <w:t>1</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b/>
          <w:bCs/>
          <w:sz w:val="32"/>
          <w:szCs w:val="32"/>
        </w:rPr>
        <w:t>采购合同</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支持采购合同</w:t>
      </w:r>
      <w:r>
        <w:rPr>
          <w:rFonts w:ascii="Times New Roman" w:eastAsia="方正仿宋_GBK" w:cs="Times New Roman" w:hAnsi="Times New Roman"/>
          <w:sz w:val="32"/>
          <w:szCs w:val="32"/>
          <w:lang w:val="en-US" w:eastAsia="zh-CN"/>
        </w:rPr>
        <w:t>基础信息管理及附件上传</w:t>
      </w:r>
      <w:r>
        <w:rPr>
          <w:rFonts w:ascii="Times New Roman" w:eastAsia="方正仿宋_GBK" w:cs="Times New Roman" w:hAnsi="Times New Roman"/>
          <w:sz w:val="32"/>
          <w:szCs w:val="32"/>
        </w:rPr>
        <w:t>，支持采购合同下推生成采购订单，采购订单</w:t>
      </w:r>
      <w:r>
        <w:rPr>
          <w:rFonts w:ascii="Times New Roman" w:eastAsia="方正仿宋_GBK" w:cs="Times New Roman" w:hAnsi="Times New Roman"/>
          <w:sz w:val="32"/>
          <w:szCs w:val="32"/>
          <w:lang w:val="en-US" w:eastAsia="zh-CN"/>
        </w:rPr>
        <w:t>关联</w:t>
      </w:r>
      <w:r>
        <w:rPr>
          <w:rFonts w:ascii="Times New Roman" w:eastAsia="方正仿宋_GBK" w:cs="Times New Roman" w:hAnsi="Times New Roman"/>
          <w:sz w:val="32"/>
          <w:szCs w:val="32"/>
        </w:rPr>
        <w:t>合同生成，</w:t>
      </w:r>
      <w:r>
        <w:rPr>
          <w:rFonts w:ascii="Times New Roman" w:eastAsia="方正仿宋_GBK" w:cs="Times New Roman" w:hAnsi="Times New Roman"/>
          <w:sz w:val="32"/>
          <w:szCs w:val="32"/>
          <w:lang w:val="en-US" w:eastAsia="zh-CN"/>
        </w:rPr>
        <w:t>实现</w:t>
      </w:r>
      <w:r>
        <w:rPr>
          <w:rFonts w:ascii="Times New Roman" w:eastAsia="方正仿宋_GBK" w:cs="Times New Roman" w:hAnsi="Times New Roman"/>
          <w:sz w:val="32"/>
          <w:szCs w:val="32"/>
        </w:rPr>
        <w:t>采购合同追溯采购订单、采购到货、采购入库、采购结算的全过程</w:t>
      </w:r>
      <w:r>
        <w:rPr>
          <w:rFonts w:ascii="Times New Roman" w:eastAsia="方正仿宋_GBK" w:cs="Times New Roman" w:hAnsi="Times New Roman"/>
          <w:sz w:val="32"/>
          <w:szCs w:val="32"/>
          <w:lang w:val="en-US" w:eastAsia="zh-CN"/>
        </w:rPr>
        <w:t>可追溯</w:t>
      </w:r>
      <w:r>
        <w:rPr>
          <w:rFonts w:ascii="Times New Roman" w:eastAsia="方正仿宋_GBK" w:cs="Times New Roman" w:hAnsi="Times New Roman"/>
          <w:sz w:val="32"/>
          <w:szCs w:val="32"/>
        </w:rPr>
        <w:t>，支持查看采购合同执行情况。</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lang w:eastAsia="zh-CN"/>
        </w:rPr>
        <w:t>（</w:t>
      </w:r>
      <w:r>
        <w:rPr>
          <w:rFonts w:ascii="Times New Roman" w:eastAsia="方正仿宋_GBK" w:cs="Times New Roman" w:hAnsi="Times New Roman"/>
          <w:b/>
          <w:bCs/>
          <w:sz w:val="32"/>
          <w:szCs w:val="32"/>
          <w:lang w:val="en-US" w:eastAsia="zh-CN"/>
        </w:rPr>
        <w:t>2</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b/>
          <w:bCs/>
          <w:sz w:val="32"/>
          <w:szCs w:val="32"/>
        </w:rPr>
        <w:t>销售合同</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支持销售合同</w:t>
      </w:r>
      <w:r>
        <w:rPr>
          <w:rFonts w:ascii="Times New Roman" w:eastAsia="方正仿宋_GBK" w:cs="Times New Roman" w:hAnsi="Times New Roman"/>
          <w:sz w:val="32"/>
          <w:szCs w:val="32"/>
          <w:lang w:val="en-US" w:eastAsia="zh-CN"/>
        </w:rPr>
        <w:t>基础信息管理及附件上传，</w:t>
      </w:r>
      <w:r>
        <w:rPr>
          <w:rFonts w:ascii="Times New Roman" w:eastAsia="方正仿宋_GBK" w:cs="Times New Roman" w:hAnsi="Times New Roman"/>
          <w:sz w:val="32"/>
          <w:szCs w:val="32"/>
        </w:rPr>
        <w:t>签订</w:t>
      </w:r>
      <w:r>
        <w:rPr>
          <w:rFonts w:ascii="Times New Roman" w:eastAsia="方正仿宋_GBK" w:cs="Times New Roman" w:hAnsi="Times New Roman"/>
          <w:sz w:val="32"/>
          <w:szCs w:val="32"/>
          <w:lang w:val="en-US" w:eastAsia="zh-CN"/>
        </w:rPr>
        <w:t>完成</w:t>
      </w:r>
      <w:r>
        <w:rPr>
          <w:rFonts w:ascii="Times New Roman" w:eastAsia="方正仿宋_GBK" w:cs="Times New Roman" w:hAnsi="Times New Roman"/>
          <w:sz w:val="32"/>
          <w:szCs w:val="32"/>
        </w:rPr>
        <w:t>后的执行过程管理，销售订单</w:t>
      </w:r>
      <w:r>
        <w:rPr>
          <w:rFonts w:ascii="Times New Roman" w:eastAsia="方正仿宋_GBK" w:cs="Times New Roman" w:hAnsi="Times New Roman"/>
          <w:sz w:val="32"/>
          <w:szCs w:val="32"/>
          <w:lang w:val="en-US" w:eastAsia="zh-CN"/>
        </w:rPr>
        <w:t>关联</w:t>
      </w:r>
      <w:r>
        <w:rPr>
          <w:rFonts w:ascii="Times New Roman" w:eastAsia="方正仿宋_GBK" w:cs="Times New Roman" w:hAnsi="Times New Roman"/>
          <w:sz w:val="32"/>
          <w:szCs w:val="32"/>
        </w:rPr>
        <w:t>合同，</w:t>
      </w:r>
      <w:r>
        <w:rPr>
          <w:rFonts w:ascii="Times New Roman" w:eastAsia="方正仿宋_GBK" w:cs="Times New Roman" w:hAnsi="Times New Roman"/>
          <w:sz w:val="32"/>
          <w:szCs w:val="32"/>
          <w:lang w:val="en-US" w:eastAsia="zh-CN"/>
        </w:rPr>
        <w:t>实现</w:t>
      </w:r>
      <w:r>
        <w:rPr>
          <w:rFonts w:ascii="Times New Roman" w:eastAsia="方正仿宋_GBK" w:cs="Times New Roman" w:hAnsi="Times New Roman"/>
          <w:sz w:val="32"/>
          <w:szCs w:val="32"/>
        </w:rPr>
        <w:t>销售订单、销售发货、销售出库、销售开票、销售结算的全过程</w:t>
      </w:r>
      <w:r>
        <w:rPr>
          <w:rFonts w:ascii="Times New Roman" w:eastAsia="方正仿宋_GBK" w:cs="Times New Roman" w:hAnsi="Times New Roman"/>
          <w:sz w:val="32"/>
          <w:szCs w:val="32"/>
          <w:lang w:val="en-US" w:eastAsia="zh-CN"/>
        </w:rPr>
        <w:t>可追溯</w:t>
      </w:r>
      <w:r>
        <w:rPr>
          <w:rFonts w:ascii="Times New Roman" w:eastAsia="方正仿宋_GBK" w:cs="Times New Roman" w:hAnsi="Times New Roman"/>
          <w:sz w:val="32"/>
          <w:szCs w:val="32"/>
        </w:rPr>
        <w:t>，支持查看销售合同执行情况。</w:t>
      </w:r>
    </w:p>
    <w:p>
      <w:pPr>
        <w:pStyle w:val="3"/>
        <w:keepNext/>
        <w:keepLines/>
        <w:pageBreakBefore w:val="0"/>
        <w:widowControl w:val="0"/>
        <w:tabs>
          <w:tab w:val="left" w:pos="611"/>
        </w:tabs>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lang w:val="en-US" w:eastAsia="zh-CN"/>
        </w:rPr>
        <w:t>7.数据分析管理</w:t>
      </w:r>
    </w:p>
    <w:p>
      <w:pPr>
        <w:pageBreakBefore w:val="0"/>
        <w:widowControl w:val="0"/>
        <w:kinsoku/>
        <w:wordWrap/>
        <w:overflowPunct/>
        <w:topLinePunct w:val="0"/>
        <w:autoSpaceDE/>
        <w:autoSpaceDN/>
        <w:bidi w:val="0"/>
        <w:adjustRightInd/>
        <w:snapToGrid/>
        <w:spacing w:line="600" w:lineRule="exact"/>
        <w:ind w:right="0" w:firstLineChars="200" w:firstLine="640"/>
        <w:jc w:val="left"/>
        <w:textAlignment w:val="auto"/>
        <w:rPr>
          <w:rFonts w:ascii="Times New Roman" w:eastAsia="方正仿宋_GBK" w:cs="Times New Roman" w:hAnsi="Times New Roman"/>
          <w:b/>
          <w:bCs/>
          <w:sz w:val="32"/>
          <w:szCs w:val="32"/>
          <w:lang w:eastAsia="zh-CN"/>
        </w:rPr>
      </w:pPr>
      <w:r>
        <w:rPr>
          <w:rFonts w:ascii="Times New Roman" w:eastAsia="方正仿宋_GBK" w:cs="Times New Roman" w:hAnsi="Times New Roman"/>
          <w:b/>
          <w:bCs/>
          <w:sz w:val="32"/>
          <w:szCs w:val="32"/>
          <w:lang w:val="en-US" w:eastAsia="zh-CN"/>
        </w:rPr>
        <w:t>（1）数据统计和报表管理</w:t>
      </w:r>
    </w:p>
    <w:p>
      <w:pPr>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lang w:val="en-US" w:eastAsia="zh-CN"/>
        </w:rPr>
        <w:t>利用供应链业财一体化系统的报表能力+供应链数据，同时乳业板块和凯欣粮油通过标准化报表模版，上传报表数据；实现三个层面的经营分析：操作层报表：供各企业业务人员日常使用（采购执行表、销售统计表等）；管理层报表：供各企业管理层使用（经营分析报表、库存周转分析等）；集团层报表：供集团管理层使用（经营驾驶舱、KPI看板、经营预警等），并接入集团统一门户。</w:t>
      </w:r>
    </w:p>
    <w:p>
      <w:pPr>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方正仿宋_GBK" w:cs="Times New Roman" w:hAnsi="Times New Roman"/>
          <w:color w:val="auto"/>
          <w:kern w:val="2"/>
          <w:sz w:val="32"/>
          <w:szCs w:val="32"/>
          <w:lang w:val="en-US" w:eastAsia="zh-CN" w:bidi="ar-SA"/>
        </w:rPr>
      </w:pPr>
      <w:r>
        <w:rPr>
          <w:rFonts w:ascii="Times New Roman" w:eastAsia="方正仿宋_GBK" w:cs="Times New Roman" w:hAnsi="Times New Roman"/>
          <w:color w:val="auto"/>
          <w:kern w:val="2"/>
          <w:sz w:val="32"/>
          <w:szCs w:val="32"/>
          <w:lang w:val="en-US" w:eastAsia="zh-CN" w:bidi="ar-SA"/>
        </w:rPr>
        <w:t>报表平台是满足农投集团经营类分析报分析方面的综合应用，基于报表表样设计、报表模版、报表指标、报表公司、语义模型定义等实现自定义报表的数据分析。设计好的报表和数据分析可发布为应用、小部件、桌面应用等。</w:t>
      </w:r>
      <w:r>
        <w:rPr>
          <w:rFonts w:ascii="Times New Roman" w:eastAsia="方正仿宋_GBK" w:cs="Times New Roman" w:hAnsi="Times New Roman"/>
          <w:color w:val="auto"/>
          <w:kern w:val="2"/>
          <w:sz w:val="32"/>
          <w:szCs w:val="32"/>
          <w:lang w:val="en-US" w:eastAsia="zh-CN" w:bidi="ar-SA"/>
        </w:rPr>
        <w:t>数据分析管理是满足农投集团经营类分析报分析方面的综合应用，基于报表表样设计、报表模版、报表指标、报表公司定义等实现自定义报表的数据分析。</w:t>
      </w:r>
    </w:p>
    <w:p>
      <w:pPr>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方正仿宋_GBK" w:cs="Times New Roman" w:hAnsi="Times New Roman"/>
          <w:color w:val="auto"/>
          <w:kern w:val="2"/>
          <w:sz w:val="32"/>
          <w:szCs w:val="32"/>
          <w:lang w:val="en-US" w:eastAsia="zh-CN" w:bidi="ar-SA"/>
        </w:rPr>
      </w:pPr>
      <w:r>
        <w:rPr>
          <w:rFonts w:ascii="Times New Roman" w:eastAsia="方正仿宋_GBK" w:cs="Times New Roman" w:hAnsi="Times New Roman"/>
          <w:color w:val="auto"/>
          <w:kern w:val="2"/>
          <w:sz w:val="32"/>
          <w:szCs w:val="32"/>
          <w:lang w:val="en-US" w:eastAsia="zh-CN" w:bidi="ar-SA"/>
        </w:rPr>
        <w:t>当期支持经营类分析报表表样下发给乳业板块、凯欣粮油公司，乳业板块、凯欣粮油公司按照下发表样填充数据后上传</w:t>
      </w:r>
      <w:r>
        <w:rPr>
          <w:rFonts w:ascii="Times New Roman" w:eastAsia="方正仿宋_GBK" w:cs="Times New Roman" w:hAnsi="Times New Roman"/>
          <w:color w:val="auto"/>
          <w:kern w:val="2"/>
          <w:sz w:val="32"/>
          <w:szCs w:val="32"/>
          <w:lang w:val="en-US" w:eastAsia="zh-CN" w:bidi="ar-SA"/>
        </w:rPr>
        <w:t>或数据接口对接</w:t>
      </w:r>
      <w:r>
        <w:rPr>
          <w:rFonts w:ascii="Times New Roman" w:eastAsia="方正仿宋_GBK" w:cs="Times New Roman" w:hAnsi="Times New Roman"/>
          <w:color w:val="auto"/>
          <w:kern w:val="2"/>
          <w:sz w:val="32"/>
          <w:szCs w:val="32"/>
          <w:lang w:val="en-US" w:eastAsia="zh-CN" w:bidi="ar-SA"/>
        </w:rPr>
        <w:t>，实现农投集团对经营类分析数据的统一管理。支持将经营类分析报表接入农投集团的统一门户，快速便捷的实现报表查询。</w:t>
      </w:r>
    </w:p>
    <w:p>
      <w:pPr>
        <w:pageBreakBefore w:val="0"/>
        <w:widowControl w:val="0"/>
        <w:kinsoku/>
        <w:wordWrap/>
        <w:overflowPunct/>
        <w:topLinePunct w:val="0"/>
        <w:autoSpaceDE/>
        <w:autoSpaceDN/>
        <w:bidi w:val="0"/>
        <w:adjustRightInd/>
        <w:snapToGrid/>
        <w:spacing w:line="600" w:lineRule="exact"/>
        <w:ind w:right="0" w:firstLineChars="200" w:firstLine="640"/>
        <w:jc w:val="left"/>
        <w:textAlignment w:val="auto"/>
        <w:rPr>
          <w:rFonts w:ascii="Times New Roman" w:eastAsia="方正仿宋_GBK" w:cs="Times New Roman" w:hAnsi="Times New Roman"/>
          <w:b/>
          <w:bCs/>
          <w:sz w:val="32"/>
          <w:szCs w:val="32"/>
          <w:lang w:val="en-US" w:eastAsia="zh-CN"/>
        </w:rPr>
      </w:pPr>
      <w:r>
        <w:rPr>
          <w:rFonts w:ascii="Times New Roman" w:eastAsia="方正仿宋_GBK" w:cs="Times New Roman" w:hAnsi="Times New Roman"/>
          <w:b/>
          <w:bCs/>
          <w:sz w:val="32"/>
          <w:szCs w:val="32"/>
          <w:lang w:val="en-US" w:eastAsia="zh-CN"/>
        </w:rPr>
        <w:t>（2）数据权限管理</w:t>
      </w:r>
    </w:p>
    <w:p>
      <w:pPr>
        <w:pageBreakBefore w:val="0"/>
        <w:widowControl w:val="0"/>
        <w:kinsoku/>
        <w:wordWrap/>
        <w:overflowPunct/>
        <w:topLinePunct w:val="0"/>
        <w:autoSpaceDE/>
        <w:autoSpaceDN/>
        <w:bidi w:val="0"/>
        <w:adjustRightInd/>
        <w:snapToGrid/>
        <w:spacing w:line="600" w:lineRule="exact"/>
        <w:ind w:right="0" w:firstLineChars="200" w:firstLine="640"/>
        <w:jc w:val="left"/>
        <w:textAlignment w:val="auto"/>
        <w:rPr>
          <w:rFonts w:ascii="Times New Roman" w:eastAsia="方正仿宋_GBK" w:cs="Times New Roman" w:hAnsi="Times New Roman"/>
          <w:color w:val="auto"/>
          <w:kern w:val="2"/>
          <w:sz w:val="32"/>
          <w:szCs w:val="32"/>
          <w:lang w:val="en-US" w:eastAsia="zh-CN" w:bidi="ar-SA"/>
        </w:rPr>
      </w:pPr>
      <w:r>
        <w:rPr>
          <w:rFonts w:ascii="Times New Roman" w:eastAsia="方正仿宋_GBK" w:cs="Times New Roman" w:hAnsi="Times New Roman"/>
          <w:color w:val="auto"/>
          <w:kern w:val="2"/>
          <w:sz w:val="32"/>
          <w:szCs w:val="32"/>
          <w:lang w:val="en-US" w:eastAsia="zh-CN" w:bidi="ar-SA"/>
        </w:rPr>
        <w:t>支持用户灵活自定义数据统计口径与报表模板，能够针对用户、角色完成功能权限分配，实现数据统计、报表资源基于角色与用户的精细化权限管控。</w:t>
      </w:r>
    </w:p>
    <w:p>
      <w:pPr>
        <w:pageBreakBefore w:val="0"/>
        <w:widowControl w:val="0"/>
        <w:kinsoku/>
        <w:wordWrap/>
        <w:overflowPunct/>
        <w:topLinePunct w:val="0"/>
        <w:autoSpaceDE/>
        <w:autoSpaceDN/>
        <w:bidi w:val="0"/>
        <w:adjustRightInd/>
        <w:snapToGrid/>
        <w:spacing w:line="600" w:lineRule="exact"/>
        <w:ind w:right="0" w:firstLineChars="200" w:firstLine="640"/>
        <w:jc w:val="left"/>
        <w:textAlignment w:val="auto"/>
        <w:rPr>
          <w:rFonts w:ascii="Times New Roman" w:eastAsia="方正仿宋_GBK" w:cs="Times New Roman" w:hAnsi="Times New Roman"/>
          <w:color w:val="auto"/>
          <w:kern w:val="2"/>
          <w:sz w:val="32"/>
          <w:szCs w:val="32"/>
          <w:lang w:val="en-US" w:eastAsia="zh-CN" w:bidi="ar-SA"/>
        </w:rPr>
      </w:pPr>
      <w:r>
        <w:rPr>
          <w:rFonts w:ascii="Times New Roman" w:eastAsia="方正仿宋_GBK" w:cs="Times New Roman" w:hAnsi="Times New Roman"/>
          <w:sz w:val="32"/>
          <w:szCs w:val="32"/>
          <w:lang w:val="en-US" w:eastAsia="zh-CN"/>
        </w:rPr>
        <w:t>支持系统业务数据源的统一管理，配置数据连接以及定义数据来源，对数据实现</w:t>
      </w:r>
      <w:r>
        <w:rPr>
          <w:rFonts w:ascii="Times New Roman" w:eastAsia="方正仿宋_GBK" w:cs="Times New Roman" w:hAnsi="Times New Roman"/>
          <w:sz w:val="32"/>
          <w:szCs w:val="32"/>
        </w:rPr>
        <w:t>图形类</w:t>
      </w:r>
      <w:r>
        <w:rPr>
          <w:rFonts w:ascii="Times New Roman" w:eastAsia="方正仿宋_GBK" w:cs="Times New Roman" w:hAnsi="Times New Roman"/>
          <w:sz w:val="32"/>
          <w:szCs w:val="32"/>
          <w:lang w:val="en-US" w:eastAsia="zh-CN"/>
        </w:rPr>
        <w:t>统计看板和报表配置，实现集团及所属企业数据统计看板和报表功能，集团及所属</w:t>
      </w:r>
      <w:r>
        <w:rPr>
          <w:rFonts w:ascii="Times New Roman" w:eastAsia="方正仿宋_GBK" w:cs="Times New Roman" w:hAnsi="Times New Roman"/>
          <w:sz w:val="32"/>
          <w:szCs w:val="32"/>
        </w:rPr>
        <w:t>企业</w:t>
      </w:r>
      <w:r>
        <w:rPr>
          <w:rFonts w:ascii="Times New Roman" w:eastAsia="方正仿宋_GBK" w:cs="Times New Roman" w:hAnsi="Times New Roman"/>
          <w:sz w:val="32"/>
          <w:szCs w:val="32"/>
          <w:lang w:val="en-US" w:eastAsia="zh-CN"/>
        </w:rPr>
        <w:t>达到</w:t>
      </w:r>
      <w:r>
        <w:rPr>
          <w:rFonts w:ascii="Times New Roman" w:eastAsia="方正仿宋_GBK" w:cs="Times New Roman" w:hAnsi="Times New Roman"/>
          <w:sz w:val="32"/>
          <w:szCs w:val="32"/>
        </w:rPr>
        <w:t>一企一屏的</w:t>
      </w:r>
      <w:r>
        <w:rPr>
          <w:rFonts w:ascii="Times New Roman" w:eastAsia="方正仿宋_GBK" w:cs="Times New Roman" w:hAnsi="Times New Roman"/>
          <w:sz w:val="32"/>
          <w:szCs w:val="32"/>
          <w:lang w:val="en-US" w:eastAsia="zh-CN"/>
        </w:rPr>
        <w:t>效果</w:t>
      </w:r>
      <w:r>
        <w:rPr>
          <w:rFonts w:ascii="Times New Roman" w:eastAsia="方正仿宋_GBK" w:cs="Times New Roman" w:hAnsi="Times New Roman"/>
          <w:sz w:val="32"/>
          <w:szCs w:val="32"/>
        </w:rPr>
        <w:t>，</w:t>
      </w:r>
      <w:r>
        <w:rPr>
          <w:rFonts w:ascii="Times New Roman" w:eastAsia="方正仿宋_GBK" w:cs="Times New Roman" w:hAnsi="Times New Roman"/>
          <w:sz w:val="32"/>
          <w:szCs w:val="32"/>
          <w:lang w:val="en-US" w:eastAsia="zh-CN"/>
        </w:rPr>
        <w:t>同时支持</w:t>
      </w:r>
      <w:r>
        <w:rPr>
          <w:rFonts w:ascii="Times New Roman" w:eastAsia="方正仿宋_GBK" w:cs="Times New Roman" w:hAnsi="Times New Roman"/>
          <w:sz w:val="32"/>
          <w:szCs w:val="32"/>
        </w:rPr>
        <w:t>集团各分管领导可以</w:t>
      </w:r>
      <w:r>
        <w:rPr>
          <w:rFonts w:ascii="Times New Roman" w:eastAsia="方正仿宋_GBK" w:cs="Times New Roman" w:hAnsi="Times New Roman"/>
          <w:sz w:val="32"/>
          <w:szCs w:val="32"/>
          <w:lang w:val="en-US" w:eastAsia="zh-CN"/>
        </w:rPr>
        <w:t>穿透到所属企业</w:t>
      </w:r>
      <w:r>
        <w:rPr>
          <w:rFonts w:ascii="Times New Roman" w:eastAsia="方正仿宋_GBK" w:cs="Times New Roman" w:hAnsi="Times New Roman"/>
          <w:sz w:val="32"/>
          <w:szCs w:val="32"/>
        </w:rPr>
        <w:t>的</w:t>
      </w:r>
      <w:r>
        <w:rPr>
          <w:rFonts w:ascii="Times New Roman" w:eastAsia="方正仿宋_GBK" w:cs="Times New Roman" w:hAnsi="Times New Roman"/>
          <w:sz w:val="32"/>
          <w:szCs w:val="32"/>
          <w:lang w:val="en-US" w:eastAsia="zh-CN"/>
        </w:rPr>
        <w:t>统计看板和报表进行数据溯源</w:t>
      </w:r>
      <w:r>
        <w:rPr>
          <w:rFonts w:ascii="Times New Roman" w:eastAsia="方正仿宋_GBK" w:cs="Times New Roman" w:hAnsi="Times New Roman"/>
          <w:sz w:val="32"/>
          <w:szCs w:val="32"/>
        </w:rPr>
        <w:t>。</w:t>
      </w:r>
    </w:p>
    <w:p>
      <w:pPr>
        <w:pStyle w:val="3"/>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kern w:val="2"/>
          <w:sz w:val="32"/>
          <w:szCs w:val="32"/>
          <w:lang w:val="en-US" w:eastAsia="zh-CN" w:bidi="ar-SA"/>
        </w:rPr>
      </w:pPr>
      <w:r>
        <w:rPr>
          <w:rFonts w:ascii="Times New Roman" w:eastAsia="方正楷体_GBK" w:cs="Times New Roman" w:hAnsi="Times New Roman"/>
          <w:b w:val="0"/>
          <w:bCs/>
          <w:kern w:val="2"/>
          <w:sz w:val="32"/>
          <w:szCs w:val="32"/>
          <w:lang w:val="en-US" w:eastAsia="zh-CN" w:bidi="ar-SA"/>
        </w:rPr>
        <w:t>（三）统一财务核算</w:t>
      </w:r>
    </w:p>
    <w:p>
      <w:pPr>
        <w:pageBreakBefore w:val="0"/>
        <w:widowControl w:val="0"/>
        <w:kinsoku/>
        <w:wordWrap/>
        <w:overflowPunct/>
        <w:topLinePunct w:val="0"/>
        <w:bidi w:val="0"/>
        <w:snapToGrid/>
        <w:ind w:right="0"/>
        <w:jc w:val="left"/>
        <w:textAlignment w:val="auto"/>
        <w:rPr>
          <w:rFonts w:ascii="Times New Roman" w:cs="Times New Roman" w:hAnsi="Times New Roman"/>
        </w:rPr>
      </w:pPr>
      <w:r>
        <w:rPr>
          <w:rFonts w:ascii="Times New Roman" w:cs="Times New Roman" w:hAnsi="Times New Roman"/>
        </w:rPr>
        <w:drawing>
          <wp:inline distT="0" distB="0" distL="85725" distR="85725">
            <wp:extent cx="5720715" cy="3409899"/>
            <wp:effectExtent l="0" t="0" r="0" b="0"/>
            <wp:docPr id="6" name="图片 6"/>
            <wp:cNvGraphicFramePr>
              <a:graphicFrameLocks noChangeAspect="1"/>
            </wp:cNvGraphicFramePr>
            <a:graphic>
              <a:graphicData uri="http://schemas.openxmlformats.org/drawingml/2006/picture">
                <pic:pic>
                  <pic:nvPicPr>
                    <pic:cNvPr id="10" name="图片 10"/>
                    <pic:cNvPicPr/>
                  </pic:nvPicPr>
                  <pic:blipFill>
                    <a:blip r:embed="rId7"/>
                    <a:stretch>
                      <a:fillRect/>
                    </a:stretch>
                  </pic:blipFill>
                  <pic:spPr>
                    <a:xfrm rot="0">
                      <a:off x="0" y="0"/>
                      <a:ext cx="5720715" cy="3409899"/>
                    </a:xfrm>
                    <a:prstGeom prst="rect"/>
                    <a:noFill/>
                    <a:ln cmpd="sng" cap="flat">
                      <a:noFill/>
                      <a:prstDash val="solid"/>
                      <a:miter/>
                    </a:ln>
                    <a:effectLst/>
                  </pic:spPr>
                </pic:pic>
              </a:graphicData>
            </a:graphic>
          </wp:inline>
        </w:drawing>
      </w: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8"/>
          <w:szCs w:val="28"/>
          <w:lang w:val="en-US" w:eastAsia="zh-CN" w:bidi="ar-SA"/>
        </w:rPr>
      </w:pPr>
      <w:r>
        <w:rPr>
          <w:rFonts w:ascii="Times New Roman" w:eastAsia="方正黑体_GBK" w:cs="Times New Roman" w:hAnsi="Times New Roman"/>
          <w:b w:val="0"/>
          <w:bCs w:val="0"/>
          <w:kern w:val="2"/>
          <w:sz w:val="28"/>
          <w:szCs w:val="28"/>
          <w:lang w:val="en-US" w:eastAsia="zh-CN" w:bidi="ar-SA"/>
        </w:rPr>
        <w:t>图4  统一财务核算架构图</w:t>
      </w: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lang w:val="en-US" w:eastAsia="zh-CN"/>
        </w:rPr>
        <w:t>统一财务系统：</w:t>
      </w:r>
      <w:r>
        <w:rPr>
          <w:rFonts w:ascii="Times New Roman" w:eastAsia="方正仿宋_GBK" w:cs="Times New Roman" w:hAnsi="Times New Roman"/>
          <w:sz w:val="32"/>
          <w:szCs w:val="32"/>
          <w:lang w:val="en-US" w:eastAsia="zh-CN"/>
        </w:rPr>
        <w:t>沿用现有集团浪潮财务系统，财务凭证、合并报表、财务分析报表</w:t>
      </w:r>
      <w:r>
        <w:rPr>
          <w:rFonts w:ascii="Times New Roman" w:eastAsia="方正仿宋_GBK" w:cs="Times New Roman" w:hAnsi="Times New Roman"/>
          <w:sz w:val="32"/>
          <w:szCs w:val="32"/>
        </w:rPr>
        <w:t>。</w:t>
      </w: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b/>
          <w:bCs/>
          <w:sz w:val="32"/>
          <w:szCs w:val="32"/>
          <w:lang w:val="en-US" w:eastAsia="zh-CN"/>
        </w:rPr>
        <w:t>供应链业财一体化：</w:t>
      </w:r>
      <w:r>
        <w:rPr>
          <w:rFonts w:ascii="Times New Roman" w:eastAsia="方正仿宋_GBK" w:cs="Times New Roman" w:hAnsi="Times New Roman"/>
          <w:sz w:val="32"/>
          <w:szCs w:val="32"/>
          <w:lang w:val="en-US" w:eastAsia="zh-CN"/>
        </w:rPr>
        <w:t>业务单据通过总账的凭证规则定义，自动生成凭证，实现业财一体。再通过标准化凭证集成结构，上传凭证至集团财务系统，实现报表的合并。</w:t>
      </w: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b/>
          <w:bCs/>
          <w:sz w:val="32"/>
          <w:szCs w:val="32"/>
          <w:lang w:val="en-US" w:eastAsia="zh-CN"/>
        </w:rPr>
        <w:t>穿透监管：</w:t>
      </w:r>
      <w:r>
        <w:rPr>
          <w:rFonts w:ascii="Times New Roman" w:eastAsia="方正仿宋_GBK" w:cs="Times New Roman" w:hAnsi="Times New Roman"/>
          <w:sz w:val="32"/>
          <w:szCs w:val="32"/>
          <w:lang w:val="en-US" w:eastAsia="zh-CN"/>
        </w:rPr>
        <w:t>实现通过单点登录，实现凭证的跨系统关联查询，并穿透到具体业务单据。</w:t>
      </w: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b/>
          <w:kern w:val="2"/>
          <w:sz w:val="32"/>
          <w:szCs w:val="32"/>
          <w:lang w:val="en-US" w:eastAsia="zh-CN" w:bidi="ar-SA"/>
        </w:rPr>
      </w:pPr>
      <w:r>
        <w:rPr>
          <w:rFonts w:ascii="Times New Roman" w:eastAsia="方正仿宋_GBK" w:cs="Times New Roman" w:hAnsi="Times New Roman"/>
          <w:b/>
          <w:kern w:val="2"/>
          <w:sz w:val="32"/>
          <w:szCs w:val="32"/>
          <w:lang w:val="en-US" w:eastAsia="zh-CN" w:bidi="ar-SA"/>
        </w:rPr>
        <w:t>1.对账和结算管理</w:t>
      </w: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cs="Times New Roman" w:hAnsi="Times New Roman"/>
          <w:lang w:val="en-US" w:eastAsia="zh-CN"/>
        </w:rPr>
      </w:pPr>
      <w:r>
        <w:rPr>
          <w:rFonts w:ascii="Times New Roman" w:eastAsia="方正仿宋_GBK" w:cs="Times New Roman" w:hAnsi="Times New Roman"/>
          <w:b w:val="0"/>
          <w:kern w:val="2"/>
          <w:sz w:val="32"/>
          <w:szCs w:val="32"/>
          <w:lang w:val="en-US" w:eastAsia="zh-CN" w:bidi="ar-SA"/>
        </w:rPr>
        <w:t>支持集团所属企业内部的应收应付内部往来对账方案，实现组织间可相互自动勾稽或手工勾稽，并且自动实现内部往来结算。支持查询已勾稽的凭证科目的明细勾稽记录，支持查询已勾稽的凭证现金流量的明细勾稽记录。</w:t>
      </w:r>
    </w:p>
    <w:p>
      <w:pPr>
        <w:pStyle w:val="3"/>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bookmarkStart w:id="12" w:name="_Toc235194875"/>
      <w:r>
        <w:rPr>
          <w:rFonts w:ascii="Times New Roman" w:eastAsia="方正仿宋_GBK" w:cs="Times New Roman" w:hAnsi="Times New Roman"/>
          <w:b/>
          <w:kern w:val="2"/>
          <w:sz w:val="32"/>
          <w:szCs w:val="32"/>
          <w:lang w:val="en-US" w:eastAsia="zh-CN" w:bidi="ar-SA"/>
        </w:rPr>
        <w:t>2.</w:t>
      </w:r>
      <w:r>
        <w:rPr>
          <w:rFonts w:ascii="Times New Roman" w:eastAsia="方正仿宋_GBK" w:cs="Times New Roman" w:hAnsi="Times New Roman"/>
          <w:sz w:val="32"/>
          <w:szCs w:val="32"/>
        </w:rPr>
        <w:t>应收管理</w:t>
      </w:r>
      <w:bookmarkEnd w:id="12"/>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lang w:val="en-US" w:eastAsia="zh-CN"/>
        </w:rPr>
        <w:t>支持实现</w:t>
      </w:r>
      <w:r>
        <w:rPr>
          <w:rFonts w:ascii="Times New Roman" w:eastAsia="方正仿宋_GBK" w:cs="Times New Roman" w:hAnsi="Times New Roman"/>
          <w:sz w:val="32"/>
          <w:szCs w:val="32"/>
        </w:rPr>
        <w:t>企业的收付款</w:t>
      </w:r>
      <w:r>
        <w:rPr>
          <w:rFonts w:ascii="Times New Roman" w:eastAsia="方正仿宋_GBK" w:cs="Times New Roman" w:hAnsi="Times New Roman"/>
          <w:sz w:val="32"/>
          <w:szCs w:val="32"/>
          <w:lang w:val="en-US" w:eastAsia="zh-CN"/>
        </w:rPr>
        <w:t>业财一体化</w:t>
      </w:r>
      <w:r>
        <w:rPr>
          <w:rFonts w:ascii="Times New Roman" w:eastAsia="方正仿宋_GBK" w:cs="Times New Roman" w:hAnsi="Times New Roman"/>
          <w:sz w:val="32"/>
          <w:szCs w:val="32"/>
        </w:rPr>
        <w:t>管理，本次项目主要实现当期建设范围内企业的收支处理，</w:t>
      </w:r>
      <w:r>
        <w:rPr>
          <w:rFonts w:ascii="Times New Roman" w:eastAsia="方正仿宋_GBK" w:cs="Times New Roman" w:hAnsi="Times New Roman"/>
          <w:sz w:val="32"/>
          <w:szCs w:val="32"/>
          <w:lang w:val="en-US" w:eastAsia="zh-CN"/>
        </w:rPr>
        <w:t>付款通过供应链业财一体化系统对接浪潮资金司库系统数据完成支付，并把电子回单返回供应链业财一体化系统；收款通过对接浪潮资金司库系统将收款和电子回单对接到供应链业财一体化系统实现和应收关联。同时系统自动生成收支凭证和对应的财务凭证。</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应收管理模块实现从应收账款的生成、对账、催收、收款、核销、坏账处理等全过程管理，全面提升企业财务管理质量与资金运营效率。</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实现销售、财务与客户之间的应收数据高度集成与自动化处理，强化账款风险控制与回款过程监控，为企业建立健康、可控的经营现金流体系提供有力支撑。</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应收管理主要功能如下：</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全流程应收业务管理：</w:t>
      </w:r>
      <w:r>
        <w:rPr>
          <w:rFonts w:ascii="Times New Roman" w:eastAsia="方正仿宋_GBK" w:cs="Times New Roman" w:hAnsi="Times New Roman"/>
          <w:sz w:val="32"/>
          <w:szCs w:val="32"/>
        </w:rPr>
        <w:t>支持从销售订单/发票自动生成应收账款，涵盖开票、对账、收款、冲销、折扣、退款、坏账准备等完整业务流程，实现应收账款全过程闭环管理。</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收款核销策略：</w:t>
      </w:r>
      <w:r>
        <w:rPr>
          <w:rFonts w:ascii="Times New Roman" w:eastAsia="方正仿宋_GBK" w:cs="Times New Roman" w:hAnsi="Times New Roman"/>
          <w:sz w:val="32"/>
          <w:szCs w:val="32"/>
        </w:rPr>
        <w:t>支持收款与应收账款的自动匹配、人工核销、部分核销、预收冲应收等场景，保障收款核算及时、准确、可追溯。</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报表分析：</w:t>
      </w:r>
      <w:r>
        <w:rPr>
          <w:rFonts w:ascii="Times New Roman" w:eastAsia="方正仿宋_GBK" w:cs="Times New Roman" w:hAnsi="Times New Roman"/>
          <w:sz w:val="32"/>
          <w:szCs w:val="32"/>
        </w:rPr>
        <w:t>提供应收余额分析、账龄结构分析、客户回款率等多维度报表与分析。</w:t>
      </w:r>
      <w:bookmarkStart w:id="13" w:name="_Toc235194876"/>
    </w:p>
    <w:p>
      <w:pPr>
        <w:pStyle w:val="3"/>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kern w:val="2"/>
          <w:sz w:val="32"/>
          <w:szCs w:val="32"/>
          <w:lang w:val="en-US" w:eastAsia="zh-CN" w:bidi="ar-SA"/>
        </w:rPr>
      </w:pPr>
      <w:r>
        <w:rPr>
          <w:rFonts w:ascii="Times New Roman" w:eastAsia="方正仿宋_GBK" w:cs="Times New Roman" w:hAnsi="Times New Roman"/>
          <w:b/>
          <w:kern w:val="2"/>
          <w:sz w:val="32"/>
          <w:szCs w:val="32"/>
          <w:lang w:val="en-US" w:eastAsia="zh-CN" w:bidi="ar-SA"/>
        </w:rPr>
        <w:t>3.应付管理</w:t>
      </w:r>
      <w:bookmarkEnd w:id="13"/>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应付管理模块实现从采购入库、发票接收、对账、付款、预付款管理到发票核销、期末结账的全流程管理，帮助企业规范付款流程、强化支付控制、提升资金使用效率，保障企业经营活动的稳定性与合规性。</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实现采购、仓储、发票、付款与财务核算的集成协同，提升应付账款的处理效率与准确性，降低支付风险与合规成本，为企业建立良好的供应商关系和可控的财务支出体系提供保障。</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应付管理主要功能如下：</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完整的应付账款业务流程管理：</w:t>
      </w:r>
      <w:r>
        <w:rPr>
          <w:rFonts w:ascii="Times New Roman" w:eastAsia="方正仿宋_GBK" w:cs="Times New Roman" w:hAnsi="Times New Roman"/>
          <w:sz w:val="32"/>
          <w:szCs w:val="32"/>
        </w:rPr>
        <w:t>支持从采购入库、发票接收、应付确认、对账、付款申请、付款执行到发票核销、预付款冲销等全过程管理，确保应付业务形成闭环，账务处理规范、可控、可追溯。</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多来源应付生成与匹配机制：</w:t>
      </w:r>
      <w:r>
        <w:rPr>
          <w:rFonts w:ascii="Times New Roman" w:eastAsia="方正仿宋_GBK" w:cs="Times New Roman" w:hAnsi="Times New Roman"/>
          <w:sz w:val="32"/>
          <w:szCs w:val="32"/>
        </w:rPr>
        <w:t>支持按采购订单/入库单/发票/合同等多种业务来源生成应付账款，支持发票与订单、入库、合同的匹配，提升单据匹配效率与支付合规性。</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付款申请与审批控制：</w:t>
      </w:r>
      <w:r>
        <w:rPr>
          <w:rFonts w:ascii="Times New Roman" w:eastAsia="方正仿宋_GBK" w:cs="Times New Roman" w:hAnsi="Times New Roman"/>
          <w:sz w:val="32"/>
          <w:szCs w:val="32"/>
        </w:rPr>
        <w:t>支持多级付款申请流程设置，根据金额、付款类型、供应商等级匹配审批策略，支持提前申请、分批付款、集中付款等多种支付控制模式，确保资金支出有据可依、有序可控。</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应付账龄与付款风险预警：</w:t>
      </w:r>
      <w:r>
        <w:rPr>
          <w:rFonts w:ascii="Times New Roman" w:eastAsia="方正仿宋_GBK" w:cs="Times New Roman" w:hAnsi="Times New Roman"/>
          <w:sz w:val="32"/>
          <w:szCs w:val="32"/>
        </w:rPr>
        <w:t>支持应付账龄结构统计、超期应付预警、付款计划提醒等风险控制功能，协助企业合理安排付款节奏、优化现金流、降低违约风险。</w:t>
      </w: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报表分析：</w:t>
      </w:r>
      <w:r>
        <w:rPr>
          <w:rFonts w:ascii="Times New Roman" w:eastAsia="方正仿宋_GBK" w:cs="Times New Roman" w:hAnsi="Times New Roman"/>
          <w:sz w:val="32"/>
          <w:szCs w:val="32"/>
        </w:rPr>
        <w:t>提供供应商应付款项分析、账龄分析等报表，支持按组织、品类、供应商维度统计查询。</w:t>
      </w:r>
    </w:p>
    <w:p>
      <w:pPr>
        <w:pStyle w:val="3"/>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lang w:val="en-US" w:eastAsia="zh-CN"/>
        </w:rPr>
        <w:t>4.</w:t>
      </w:r>
      <w:r>
        <w:rPr>
          <w:rFonts w:ascii="Times New Roman" w:eastAsia="方正仿宋_GBK" w:cs="Times New Roman" w:hAnsi="Times New Roman"/>
          <w:sz w:val="32"/>
          <w:szCs w:val="32"/>
        </w:rPr>
        <w:t>存货核算</w:t>
      </w: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rPr>
        <w:t>存货核算模块实现企业库存物料的出入库及结存价值进行核算</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支持对存货入库价值进行确认</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计量及记录</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支持先进先出、全月平均、移动加权等多种方法计算出存货成本</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支持自动生成相关总账凭证</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为产品成本计算提供材料成本数据</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实现所有出入库业务的业财一体化。</w:t>
      </w:r>
    </w:p>
    <w:p>
      <w:pPr>
        <w:pStyle w:val="3"/>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bookmarkStart w:id="14" w:name="_Toc235194874"/>
      <w:r>
        <w:rPr>
          <w:rFonts w:ascii="Times New Roman" w:eastAsia="方正仿宋_GBK" w:cs="Times New Roman" w:hAnsi="Times New Roman"/>
          <w:b/>
          <w:kern w:val="2"/>
          <w:sz w:val="32"/>
          <w:szCs w:val="32"/>
          <w:lang w:val="en-US" w:eastAsia="zh-CN" w:bidi="ar-SA"/>
        </w:rPr>
        <w:t>5.</w:t>
      </w:r>
      <w:r>
        <w:rPr>
          <w:rFonts w:ascii="Times New Roman" w:eastAsia="方正仿宋_GBK" w:cs="Times New Roman" w:hAnsi="Times New Roman"/>
          <w:sz w:val="32"/>
          <w:szCs w:val="32"/>
        </w:rPr>
        <w:t>总账</w:t>
      </w:r>
      <w:bookmarkEnd w:id="14"/>
      <w:r>
        <w:rPr>
          <w:rFonts w:ascii="Times New Roman" w:eastAsia="方正仿宋_GBK" w:cs="Times New Roman" w:hAnsi="Times New Roman"/>
          <w:sz w:val="32"/>
          <w:szCs w:val="32"/>
          <w:lang w:eastAsia="zh-CN"/>
        </w:rPr>
        <w:t>管理</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总账管理是企业财务核算的核心环节，是规范经济活动、反映经营成果、支撑决策分析的基础。总账模块具备完整的账务处理流程和灵活的财务政策配置，支持按照农投集团统一的财务核算规范下建立总账模块，实现与农投集团统建的浪潮系统凭证传递，实现通过浪潮系统凭证穿透到</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lang w:val="en-US" w:eastAsia="zh-CN"/>
        </w:rPr>
        <w:t>的</w:t>
      </w:r>
      <w:r>
        <w:rPr>
          <w:rFonts w:ascii="Times New Roman" w:eastAsia="方正仿宋_GBK" w:cs="Times New Roman" w:hAnsi="Times New Roman"/>
          <w:sz w:val="32"/>
          <w:szCs w:val="32"/>
        </w:rPr>
        <w:t>总账财务凭证，通过财务凭证穿透到业务明细，业务发生过程，实现业务穿透式</w:t>
      </w:r>
      <w:r>
        <w:rPr>
          <w:rFonts w:ascii="Times New Roman" w:eastAsia="方正仿宋_GBK" w:cs="Times New Roman" w:hAnsi="Times New Roman"/>
          <w:sz w:val="32"/>
          <w:szCs w:val="32"/>
          <w:lang w:val="en-US" w:eastAsia="zh-CN"/>
        </w:rPr>
        <w:t>查看</w:t>
      </w:r>
      <w:r>
        <w:rPr>
          <w:rFonts w:ascii="Times New Roman" w:eastAsia="方正仿宋_GBK" w:cs="Times New Roman" w:hAnsi="Times New Roman"/>
          <w:sz w:val="32"/>
          <w:szCs w:val="32"/>
        </w:rPr>
        <w:t>。</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总账模块主要功能如下：</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全面的账务处理能力：</w:t>
      </w:r>
      <w:r>
        <w:rPr>
          <w:rFonts w:ascii="Times New Roman" w:eastAsia="方正仿宋_GBK" w:cs="Times New Roman" w:hAnsi="Times New Roman"/>
          <w:sz w:val="32"/>
          <w:szCs w:val="32"/>
        </w:rPr>
        <w:t>支持与应收、应付、成本核算等多账务模块协同处理，支持多币种、多准则、多会计期间核算管理，满足农投集团在不同经营主体与核算维度下的账务合规需求。</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自动化的凭证处理机制：</w:t>
      </w:r>
      <w:r>
        <w:rPr>
          <w:rFonts w:ascii="Times New Roman" w:eastAsia="方正仿宋_GBK" w:cs="Times New Roman" w:hAnsi="Times New Roman"/>
          <w:sz w:val="32"/>
          <w:szCs w:val="32"/>
        </w:rPr>
        <w:t>实现采购、销售、库存等业务系统凭证的自动生成、自动过账及批量处理，减少手工录入，提高核算效率；提供严谨的审核流程与追踪机制，保障账务处理的规范与可控，实现业财一体化。</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多维账务核算与分析：</w:t>
      </w:r>
      <w:r>
        <w:rPr>
          <w:rFonts w:ascii="Times New Roman" w:eastAsia="方正仿宋_GBK" w:cs="Times New Roman" w:hAnsi="Times New Roman"/>
          <w:sz w:val="32"/>
          <w:szCs w:val="32"/>
        </w:rPr>
        <w:t>支持按组织、部门、项目、产品、客户等维度进行核算与报表统计，实现精细化成本控制与业务责任归集，帮助企业全面掌握财务状况与经营成果。</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期末处理与报表出具：</w:t>
      </w:r>
      <w:r>
        <w:rPr>
          <w:rFonts w:ascii="Times New Roman" w:eastAsia="方正仿宋_GBK" w:cs="Times New Roman" w:hAnsi="Times New Roman"/>
          <w:sz w:val="32"/>
          <w:szCs w:val="32"/>
        </w:rPr>
        <w:t>提供期末结账、自动结转、汇兑损益、费用分摊等一系列标准处理流程，确保账实一致、账账一致。</w:t>
      </w:r>
    </w:p>
    <w:p>
      <w:pPr>
        <w:pStyle w:val="57"/>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bCs/>
          <w:kern w:val="0"/>
          <w:sz w:val="32"/>
          <w:szCs w:val="32"/>
          <w:lang w:val="en-US" w:eastAsia="zh-CN" w:bidi="ar-SA"/>
        </w:rPr>
      </w:pPr>
      <w:r>
        <w:rPr>
          <w:rFonts w:ascii="Times New Roman" w:eastAsia="方正仿宋_GBK" w:cs="Times New Roman" w:hAnsi="Times New Roman"/>
          <w:b/>
          <w:bCs/>
          <w:sz w:val="32"/>
          <w:szCs w:val="32"/>
        </w:rPr>
        <w:t>数据穿透与合规追溯：</w:t>
      </w:r>
      <w:r>
        <w:rPr>
          <w:rFonts w:ascii="Times New Roman" w:eastAsia="方正仿宋_GBK" w:cs="Times New Roman" w:hAnsi="Times New Roman"/>
          <w:sz w:val="32"/>
          <w:szCs w:val="32"/>
        </w:rPr>
        <w:t>提供凭证到业务单据的双向追溯机制，实现从账务到业务的全过程透明管理，满足企业内部监管、内部审计与外部审计对核算数据可查、可证、可追溯、可控的合规性要求。</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lang w:val="en-US" w:eastAsia="zh-CN"/>
        </w:rPr>
        <w:t>支持实现</w:t>
      </w:r>
      <w:r>
        <w:rPr>
          <w:rFonts w:ascii="Times New Roman" w:eastAsia="方正仿宋_GBK" w:cs="Times New Roman" w:hAnsi="Times New Roman"/>
          <w:sz w:val="32"/>
          <w:szCs w:val="32"/>
        </w:rPr>
        <w:t>企业的收付款</w:t>
      </w:r>
      <w:r>
        <w:rPr>
          <w:rFonts w:ascii="Times New Roman" w:eastAsia="方正仿宋_GBK" w:cs="Times New Roman" w:hAnsi="Times New Roman"/>
          <w:sz w:val="32"/>
          <w:szCs w:val="32"/>
          <w:lang w:val="en-US" w:eastAsia="zh-CN"/>
        </w:rPr>
        <w:t>业财一体化</w:t>
      </w:r>
      <w:r>
        <w:rPr>
          <w:rFonts w:ascii="Times New Roman" w:eastAsia="方正仿宋_GBK" w:cs="Times New Roman" w:hAnsi="Times New Roman"/>
          <w:sz w:val="32"/>
          <w:szCs w:val="32"/>
        </w:rPr>
        <w:t>管理，本次项目主要实现当期建设范围内企业的收支处理，</w:t>
      </w:r>
      <w:r>
        <w:rPr>
          <w:rFonts w:ascii="Times New Roman" w:eastAsia="方正仿宋_GBK" w:cs="Times New Roman" w:hAnsi="Times New Roman"/>
          <w:sz w:val="32"/>
          <w:szCs w:val="32"/>
          <w:lang w:val="en-US" w:eastAsia="zh-CN"/>
        </w:rPr>
        <w:t>付款通过供应链业财一体化系统对接浪潮资金司库系统数据完成支付，并把电子回单返回供应链业财一体化系统；收款通过对接浪潮资金司库系统将收款和电子回单对接到供应链业财一体化系统实现和应收关联。同时系统自动生成收支凭证和对应的财务凭证。</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楷体_GBK" w:cs="Times New Roman" w:hAnsi="Times New Roman"/>
          <w:b w:val="0"/>
          <w:bCs/>
          <w:kern w:val="2"/>
          <w:sz w:val="32"/>
          <w:szCs w:val="32"/>
          <w:lang w:val="en-US" w:eastAsia="zh-CN" w:bidi="ar-SA"/>
        </w:rPr>
      </w:pPr>
      <w:r>
        <w:rPr>
          <w:rFonts w:ascii="Times New Roman" w:eastAsia="方正楷体_GBK" w:cs="Times New Roman" w:hAnsi="Times New Roman"/>
          <w:b w:val="0"/>
          <w:bCs/>
          <w:kern w:val="2"/>
          <w:sz w:val="32"/>
          <w:szCs w:val="32"/>
          <w:lang w:val="en-US" w:eastAsia="zh-CN" w:bidi="ar-SA"/>
        </w:rPr>
        <w:t>（四）统一资金管理</w:t>
      </w:r>
    </w:p>
    <w:p>
      <w:pPr>
        <w:pageBreakBefore w:val="0"/>
        <w:widowControl w:val="0"/>
        <w:kinsoku/>
        <w:wordWrap/>
        <w:overflowPunct/>
        <w:topLinePunct w:val="0"/>
        <w:bidi w:val="0"/>
        <w:snapToGrid/>
        <w:ind w:right="0"/>
        <w:jc w:val="left"/>
        <w:textAlignment w:val="auto"/>
        <w:rPr>
          <w:rFonts w:ascii="Times New Roman" w:cs="Times New Roman" w:hAnsi="Times New Roman"/>
        </w:rPr>
      </w:pPr>
      <w:r>
        <w:rPr>
          <w:rFonts w:ascii="Times New Roman" w:cs="Times New Roman" w:hAnsi="Times New Roman"/>
        </w:rPr>
        <w:drawing>
          <wp:inline distT="0" distB="0" distL="85725" distR="85725">
            <wp:extent cx="5714958" cy="4937161"/>
            <wp:effectExtent l="0" t="0" r="0" b="1"/>
            <wp:docPr id="7" name="图片 7"/>
            <wp:cNvGraphicFramePr>
              <a:graphicFrameLocks noChangeAspect="1"/>
            </wp:cNvGraphicFramePr>
            <a:graphic>
              <a:graphicData uri="http://schemas.openxmlformats.org/drawingml/2006/picture">
                <pic:pic>
                  <pic:nvPicPr>
                    <pic:cNvPr id="12" name="图片 12"/>
                    <pic:cNvPicPr/>
                  </pic:nvPicPr>
                  <pic:blipFill>
                    <a:blip r:embed="rId8"/>
                    <a:stretch>
                      <a:fillRect/>
                    </a:stretch>
                  </pic:blipFill>
                  <pic:spPr>
                    <a:xfrm rot="0">
                      <a:off x="0" y="0"/>
                      <a:ext cx="5714958" cy="4937161"/>
                    </a:xfrm>
                    <a:prstGeom prst="rect"/>
                    <a:noFill/>
                    <a:ln cmpd="sng" cap="flat">
                      <a:noFill/>
                      <a:prstDash val="solid"/>
                      <a:miter/>
                    </a:ln>
                    <a:effectLst/>
                  </pic:spPr>
                </pic:pic>
              </a:graphicData>
            </a:graphic>
          </wp:inline>
        </w:drawing>
      </w: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8"/>
          <w:szCs w:val="28"/>
          <w:lang w:val="en-US" w:eastAsia="zh-CN" w:bidi="ar-SA"/>
        </w:rPr>
      </w:pPr>
      <w:r>
        <w:rPr>
          <w:rFonts w:ascii="Times New Roman" w:eastAsia="方正黑体_GBK" w:cs="Times New Roman" w:hAnsi="Times New Roman"/>
          <w:b w:val="0"/>
          <w:bCs w:val="0"/>
          <w:kern w:val="2"/>
          <w:sz w:val="28"/>
          <w:szCs w:val="28"/>
          <w:lang w:val="en-US" w:eastAsia="zh-CN" w:bidi="ar-SA"/>
        </w:rPr>
        <w:t>图5  司库系统——银企直联——财务结算架构图</w:t>
      </w: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rPr>
        <w:t>供应链</w:t>
      </w:r>
      <w:r>
        <w:rPr>
          <w:rFonts w:ascii="Times New Roman" w:eastAsia="方正仿宋_GBK" w:cs="Times New Roman" w:hAnsi="Times New Roman"/>
          <w:sz w:val="32"/>
          <w:szCs w:val="32"/>
          <w:lang w:val="en-US" w:eastAsia="zh-CN"/>
        </w:rPr>
        <w:t>业财一体化系统与现有</w:t>
      </w:r>
      <w:r>
        <w:rPr>
          <w:rFonts w:ascii="Times New Roman" w:eastAsia="方正仿宋_GBK" w:cs="Times New Roman" w:hAnsi="Times New Roman"/>
          <w:sz w:val="32"/>
          <w:szCs w:val="32"/>
        </w:rPr>
        <w:t>司库系统</w:t>
      </w:r>
      <w:r>
        <w:rPr>
          <w:rFonts w:ascii="Times New Roman" w:eastAsia="方正仿宋_GBK" w:cs="Times New Roman" w:hAnsi="Times New Roman"/>
          <w:sz w:val="32"/>
          <w:szCs w:val="32"/>
          <w:lang w:val="en-US" w:eastAsia="zh-CN"/>
        </w:rPr>
        <w:t>集成</w:t>
      </w:r>
      <w:r>
        <w:rPr>
          <w:rFonts w:ascii="Times New Roman" w:eastAsia="方正仿宋_GBK" w:cs="Times New Roman" w:hAnsi="Times New Roman"/>
          <w:sz w:val="32"/>
          <w:szCs w:val="32"/>
        </w:rPr>
        <w:t>，</w:t>
      </w:r>
      <w:r>
        <w:rPr>
          <w:rFonts w:ascii="Times New Roman" w:eastAsia="方正仿宋_GBK" w:cs="Times New Roman" w:hAnsi="Times New Roman"/>
          <w:sz w:val="32"/>
          <w:szCs w:val="32"/>
          <w:lang w:val="en-US" w:eastAsia="zh-CN"/>
        </w:rPr>
        <w:t>利用资金结算单同步，审批通过后再向</w:t>
      </w:r>
      <w:r>
        <w:rPr>
          <w:rFonts w:ascii="Times New Roman" w:eastAsia="方正仿宋_GBK" w:cs="Times New Roman" w:hAnsi="Times New Roman"/>
          <w:sz w:val="32"/>
          <w:szCs w:val="32"/>
        </w:rPr>
        <w:t>银企直联模块发起付款</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资金划拨</w:t>
      </w:r>
      <w:r>
        <w:rPr>
          <w:rFonts w:ascii="Times New Roman" w:eastAsia="方正仿宋_GBK" w:cs="Times New Roman" w:hAnsi="Times New Roman"/>
          <w:sz w:val="32"/>
          <w:szCs w:val="32"/>
          <w:lang w:val="en-US" w:eastAsia="zh-CN"/>
        </w:rPr>
        <w:t>等</w:t>
      </w:r>
      <w:r>
        <w:rPr>
          <w:rFonts w:ascii="Times New Roman" w:eastAsia="方正仿宋_GBK" w:cs="Times New Roman" w:hAnsi="Times New Roman"/>
          <w:sz w:val="32"/>
          <w:szCs w:val="32"/>
        </w:rPr>
        <w:t>业务</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银企直联收款</w:t>
      </w:r>
      <w:r>
        <w:rPr>
          <w:rFonts w:ascii="Times New Roman" w:eastAsia="方正仿宋_GBK" w:cs="Times New Roman" w:hAnsi="Times New Roman"/>
          <w:sz w:val="32"/>
          <w:szCs w:val="32"/>
          <w:lang w:val="en-US" w:eastAsia="zh-CN"/>
        </w:rPr>
        <w:t>流水同步至供应链业财务一体化系统，实现收款单的自动生成</w:t>
      </w:r>
      <w:r>
        <w:rPr>
          <w:rFonts w:ascii="Times New Roman" w:eastAsia="方正仿宋_GBK" w:cs="Times New Roman" w:hAnsi="Times New Roman"/>
          <w:sz w:val="32"/>
          <w:szCs w:val="32"/>
        </w:rPr>
        <w:t>。</w:t>
      </w:r>
      <w:r>
        <w:rPr>
          <w:rFonts w:ascii="Times New Roman" w:eastAsia="方正仿宋_GBK" w:cs="Times New Roman" w:hAnsi="Times New Roman"/>
          <w:sz w:val="32"/>
          <w:szCs w:val="32"/>
          <w:lang w:val="en-US" w:eastAsia="zh-CN"/>
        </w:rPr>
        <w:t>实现统一资金管理。</w:t>
      </w: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付款闭环</w:t>
      </w:r>
      <w:r>
        <w:rPr>
          <w:rFonts w:ascii="Times New Roman" w:eastAsia="方正仿宋_GBK" w:cs="Times New Roman" w:hAnsi="Times New Roman"/>
          <w:sz w:val="32"/>
          <w:szCs w:val="32"/>
        </w:rPr>
        <w:t>：统建</w:t>
      </w:r>
      <w:r>
        <w:rPr>
          <w:rFonts w:ascii="Times New Roman" w:eastAsia="方正仿宋_GBK" w:cs="Times New Roman" w:hAnsi="Times New Roman"/>
          <w:sz w:val="32"/>
          <w:szCs w:val="32"/>
          <w:lang w:eastAsia="zh-CN"/>
        </w:rPr>
        <w:t>供应链业财一体化</w:t>
      </w:r>
      <w:r>
        <w:rPr>
          <w:rFonts w:ascii="Times New Roman" w:eastAsia="方正仿宋_GBK" w:cs="Times New Roman" w:hAnsi="Times New Roman"/>
          <w:sz w:val="32"/>
          <w:szCs w:val="32"/>
        </w:rPr>
        <w:t>系统中的收付款单、预收付款单、其他收付款单汇聚生成资金结算单 → 资金结算单通过集成</w:t>
      </w:r>
      <w:r>
        <w:rPr>
          <w:rFonts w:ascii="Times New Roman" w:eastAsia="方正仿宋_GBK" w:cs="Times New Roman" w:hAnsi="Times New Roman"/>
          <w:sz w:val="32"/>
          <w:szCs w:val="32"/>
          <w:lang w:eastAsia="zh-CN"/>
        </w:rPr>
        <w:t>接口</w:t>
      </w:r>
      <w:r>
        <w:rPr>
          <w:rFonts w:ascii="Times New Roman" w:eastAsia="方正仿宋_GBK" w:cs="Times New Roman" w:hAnsi="Times New Roman"/>
          <w:sz w:val="32"/>
          <w:szCs w:val="32"/>
        </w:rPr>
        <w:t>平台提交司库系统审批 → 司库审批通过后通过银企直联发起付款 → 银企直联返回支付结果和银行流水回单 → 统建</w:t>
      </w:r>
      <w:r>
        <w:rPr>
          <w:rFonts w:ascii="Times New Roman" w:eastAsia="方正仿宋_GBK" w:cs="Times New Roman" w:hAnsi="Times New Roman"/>
          <w:sz w:val="32"/>
          <w:szCs w:val="32"/>
          <w:lang w:eastAsia="zh-CN"/>
        </w:rPr>
        <w:t>供应链业财一体化</w:t>
      </w:r>
      <w:r>
        <w:rPr>
          <w:rFonts w:ascii="Times New Roman" w:eastAsia="方正仿宋_GBK" w:cs="Times New Roman" w:hAnsi="Times New Roman"/>
          <w:sz w:val="32"/>
          <w:szCs w:val="32"/>
        </w:rPr>
        <w:t>系统更新资金结算单状态为</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支付完成”</w:t>
      </w:r>
      <w:r>
        <w:rPr>
          <w:rFonts w:ascii="Times New Roman" w:eastAsia="方正仿宋_GBK" w:cs="Times New Roman" w:hAnsi="Times New Roman"/>
          <w:sz w:val="32"/>
          <w:szCs w:val="32"/>
          <w:lang w:eastAsia="zh-CN"/>
        </w:rPr>
        <w:t>。</w:t>
      </w: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收款闭环</w:t>
      </w:r>
      <w:r>
        <w:rPr>
          <w:rFonts w:ascii="Times New Roman" w:eastAsia="方正仿宋_GBK" w:cs="Times New Roman" w:hAnsi="Times New Roman"/>
          <w:sz w:val="32"/>
          <w:szCs w:val="32"/>
        </w:rPr>
        <w:t>：银企直联获取银行收款流水 → 收款流水同步至统建</w:t>
      </w:r>
      <w:r>
        <w:rPr>
          <w:rFonts w:ascii="Times New Roman" w:eastAsia="方正仿宋_GBK" w:cs="Times New Roman" w:hAnsi="Times New Roman"/>
          <w:sz w:val="32"/>
          <w:szCs w:val="32"/>
          <w:lang w:eastAsia="zh-CN"/>
        </w:rPr>
        <w:t>供应链业财一体化</w:t>
      </w:r>
      <w:r>
        <w:rPr>
          <w:rFonts w:ascii="Times New Roman" w:eastAsia="方正仿宋_GBK" w:cs="Times New Roman" w:hAnsi="Times New Roman"/>
          <w:sz w:val="32"/>
          <w:szCs w:val="32"/>
        </w:rPr>
        <w:t>系统 → 统建</w:t>
      </w:r>
      <w:r>
        <w:rPr>
          <w:rFonts w:ascii="Times New Roman" w:eastAsia="方正仿宋_GBK" w:cs="Times New Roman" w:hAnsi="Times New Roman"/>
          <w:sz w:val="32"/>
          <w:szCs w:val="32"/>
          <w:lang w:eastAsia="zh-CN"/>
        </w:rPr>
        <w:t>供应链业财一体化</w:t>
      </w:r>
      <w:r>
        <w:rPr>
          <w:rFonts w:ascii="Times New Roman" w:eastAsia="方正仿宋_GBK" w:cs="Times New Roman" w:hAnsi="Times New Roman"/>
          <w:sz w:val="32"/>
          <w:szCs w:val="32"/>
        </w:rPr>
        <w:t>系统自动生成收款单 → 收款单与应收账款核销</w:t>
      </w:r>
      <w:r>
        <w:rPr>
          <w:rFonts w:ascii="Times New Roman" w:eastAsia="方正仿宋_GBK" w:cs="Times New Roman" w:hAnsi="Times New Roman"/>
          <w:sz w:val="32"/>
          <w:szCs w:val="32"/>
          <w:lang w:eastAsia="zh-CN"/>
        </w:rPr>
        <w:t>。</w:t>
      </w:r>
    </w:p>
    <w:p>
      <w:pPr>
        <w:pStyle w:val="43"/>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异常处理</w:t>
      </w:r>
      <w:r>
        <w:rPr>
          <w:rFonts w:ascii="Times New Roman" w:eastAsia="方正仿宋_GBK" w:cs="Times New Roman" w:hAnsi="Times New Roman"/>
          <w:sz w:val="32"/>
          <w:szCs w:val="32"/>
        </w:rPr>
        <w:t>：司库审批不通过时，统建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资金结算单状态回退为</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审批拒绝”，需修改后重新提交；银企直联支付失败时（如余额不足、账户冻结），统建</w:t>
      </w:r>
      <w:r>
        <w:rPr>
          <w:rFonts w:ascii="Times New Roman" w:eastAsia="方正仿宋_GBK" w:cs="Times New Roman" w:hAnsi="Times New Roman"/>
          <w:sz w:val="32"/>
          <w:szCs w:val="32"/>
          <w:lang w:eastAsia="zh-CN"/>
        </w:rPr>
        <w:t>供应链业财一体化</w:t>
      </w:r>
      <w:r>
        <w:rPr>
          <w:rFonts w:ascii="Times New Roman" w:eastAsia="方正仿宋_GBK" w:cs="Times New Roman" w:hAnsi="Times New Roman"/>
          <w:sz w:val="32"/>
          <w:szCs w:val="32"/>
        </w:rPr>
        <w:t>系统记录异常状态，由业务人员手动处理。</w:t>
      </w:r>
      <w:bookmarkStart w:id="15" w:name="_Toc235194866"/>
    </w:p>
    <w:p>
      <w:pPr>
        <w:pStyle w:val="3"/>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kern w:val="2"/>
          <w:sz w:val="32"/>
          <w:szCs w:val="32"/>
          <w:lang w:val="en-US" w:eastAsia="zh-CN" w:bidi="ar-SA"/>
        </w:rPr>
      </w:pPr>
      <w:r>
        <w:rPr>
          <w:rFonts w:ascii="Times New Roman" w:eastAsia="方正楷体_GBK" w:cs="Times New Roman" w:hAnsi="Times New Roman"/>
          <w:b w:val="0"/>
          <w:bCs/>
          <w:kern w:val="2"/>
          <w:sz w:val="32"/>
          <w:szCs w:val="32"/>
          <w:lang w:val="en-US" w:eastAsia="zh-CN" w:bidi="ar-SA"/>
        </w:rPr>
        <w:t>（五）全成本核算</w:t>
      </w:r>
      <w:bookmarkEnd w:id="15"/>
      <w:r>
        <w:rPr>
          <w:rFonts w:ascii="Times New Roman" w:eastAsia="方正楷体_GBK" w:cs="Times New Roman" w:hAnsi="Times New Roman"/>
          <w:b w:val="0"/>
          <w:bCs/>
          <w:kern w:val="2"/>
          <w:sz w:val="32"/>
          <w:szCs w:val="32"/>
          <w:lang w:val="en-US" w:eastAsia="zh-CN" w:bidi="ar-SA"/>
        </w:rPr>
        <w:t>建设</w:t>
      </w:r>
    </w:p>
    <w:p>
      <w:pPr>
        <w:pStyle w:val="43"/>
        <w:pageBreakBefore w:val="0"/>
        <w:widowControl w:val="0"/>
        <w:kinsoku/>
        <w:wordWrap/>
        <w:overflowPunct/>
        <w:topLinePunct w:val="0"/>
        <w:bidi w:val="0"/>
        <w:snapToGrid/>
        <w:spacing w:line="360" w:lineRule="auto"/>
        <w:ind w:right="0"/>
        <w:jc w:val="left"/>
        <w:textAlignment w:val="auto"/>
        <w:rPr>
          <w:rFonts w:ascii="Times New Roman" w:cs="Times New Roman" w:hAnsi="Times New Roman"/>
        </w:rPr>
      </w:pPr>
      <w:r>
        <w:rPr>
          <w:rFonts w:ascii="Times New Roman" w:cs="Times New Roman" w:hAnsi="Times New Roman"/>
        </w:rPr>
        <w:drawing>
          <wp:inline distT="0" distB="0" distL="85725" distR="85725">
            <wp:extent cx="6134734" cy="3333801"/>
            <wp:effectExtent l="0" t="0" r="1" b="0"/>
            <wp:docPr id="8" name="图片 8"/>
            <wp:cNvGraphicFramePr>
              <a:graphicFrameLocks noChangeAspect="1"/>
            </wp:cNvGraphicFramePr>
            <a:graphic>
              <a:graphicData uri="http://schemas.openxmlformats.org/drawingml/2006/picture">
                <pic:pic>
                  <pic:nvPicPr>
                    <pic:cNvPr id="14" name="图片 14"/>
                    <pic:cNvPicPr/>
                  </pic:nvPicPr>
                  <pic:blipFill>
                    <a:blip r:embed="rId9"/>
                    <a:stretch>
                      <a:fillRect/>
                    </a:stretch>
                  </pic:blipFill>
                  <pic:spPr>
                    <a:xfrm rot="0">
                      <a:off x="0" y="0"/>
                      <a:ext cx="6134734" cy="3333801"/>
                    </a:xfrm>
                    <a:prstGeom prst="rect"/>
                    <a:noFill/>
                    <a:ln cmpd="sng" cap="flat">
                      <a:noFill/>
                      <a:prstDash val="solid"/>
                      <a:miter/>
                    </a:ln>
                    <a:effectLst/>
                  </pic:spPr>
                </pic:pic>
              </a:graphicData>
            </a:graphic>
          </wp:inline>
        </w:drawing>
      </w:r>
    </w:p>
    <w:p>
      <w:pPr>
        <w:pStyle w:val="43"/>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4"/>
          <w:szCs w:val="24"/>
          <w:lang w:val="en-US" w:eastAsia="zh-CN" w:bidi="ar-SA"/>
        </w:rPr>
      </w:pPr>
    </w:p>
    <w:p>
      <w:pPr>
        <w:pStyle w:val="43"/>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b w:val="0"/>
          <w:bCs w:val="0"/>
          <w:kern w:val="2"/>
          <w:sz w:val="24"/>
          <w:szCs w:val="24"/>
          <w:lang w:val="en-US" w:eastAsia="zh-CN" w:bidi="ar-SA"/>
        </w:rPr>
      </w:pPr>
      <w:r>
        <w:rPr>
          <w:rFonts w:ascii="Times New Roman" w:eastAsia="方正黑体_GBK" w:cs="Times New Roman" w:hAnsi="Times New Roman"/>
          <w:b w:val="0"/>
          <w:bCs w:val="0"/>
          <w:kern w:val="2"/>
          <w:sz w:val="28"/>
          <w:szCs w:val="28"/>
          <w:lang w:val="en-US" w:eastAsia="zh-CN" w:bidi="ar-SA"/>
        </w:rPr>
        <w:t>图6  全成本核算凭证集成架构图</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成本模块实现</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料、工、费”全成本核算：</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浪潮系统</w:t>
      </w:r>
      <w:r>
        <w:rPr>
          <w:rFonts w:ascii="Times New Roman" w:eastAsia="方正仿宋_GBK" w:cs="Times New Roman" w:hAnsi="Times New Roman"/>
          <w:sz w:val="32"/>
          <w:szCs w:val="32"/>
        </w:rPr>
        <w:t>：浪潮系统作为集团财务核算系统，生成以下两类总账凭证传递到统建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成本</w:t>
      </w:r>
      <w:r>
        <w:rPr>
          <w:rFonts w:ascii="Times New Roman" w:eastAsia="方正仿宋_GBK" w:cs="Times New Roman" w:hAnsi="Times New Roman"/>
          <w:sz w:val="32"/>
          <w:szCs w:val="32"/>
          <w:lang w:eastAsia="zh-CN"/>
        </w:rPr>
        <w:t>模块</w:t>
      </w:r>
      <w:r>
        <w:rPr>
          <w:rFonts w:ascii="Times New Roman" w:eastAsia="方正仿宋_GBK" w:cs="Times New Roman" w:hAnsi="Times New Roman"/>
          <w:sz w:val="32"/>
          <w:szCs w:val="32"/>
        </w:rPr>
        <w:t>：</w:t>
      </w:r>
    </w:p>
    <w:p>
      <w:pPr>
        <w:pStyle w:val="57"/>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制造费用总账凭证</w:t>
      </w:r>
      <w:r>
        <w:rPr>
          <w:rFonts w:ascii="Times New Roman" w:eastAsia="方正仿宋_GBK" w:cs="Times New Roman" w:hAnsi="Times New Roman"/>
          <w:sz w:val="32"/>
          <w:szCs w:val="32"/>
        </w:rPr>
        <w:t>：包含固定资产折旧、水电气费用、维修维护费、车间消耗等各项制造费用</w:t>
      </w:r>
      <w:r>
        <w:rPr>
          <w:rFonts w:ascii="Times New Roman" w:eastAsia="方正仿宋_GBK" w:cs="Times New Roman" w:hAnsi="Times New Roman"/>
          <w:sz w:val="32"/>
          <w:szCs w:val="32"/>
          <w:lang w:eastAsia="zh-CN"/>
        </w:rPr>
        <w:t>。</w:t>
      </w:r>
    </w:p>
    <w:p>
      <w:pPr>
        <w:pStyle w:val="57"/>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人工费用总账凭证</w:t>
      </w:r>
      <w:r>
        <w:rPr>
          <w:rFonts w:ascii="Times New Roman" w:eastAsia="方正仿宋_GBK" w:cs="Times New Roman" w:hAnsi="Times New Roman"/>
          <w:sz w:val="32"/>
          <w:szCs w:val="32"/>
        </w:rPr>
        <w:t>：包含薪酬、社保、福利等各项人工费用</w:t>
      </w:r>
      <w:r>
        <w:rPr>
          <w:rFonts w:ascii="Times New Roman" w:eastAsia="方正仿宋_GBK" w:cs="Times New Roman" w:hAnsi="Times New Roman"/>
          <w:sz w:val="32"/>
          <w:szCs w:val="32"/>
          <w:lang w:eastAsia="zh-CN"/>
        </w:rPr>
        <w:t>。</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以上两类凭证通过集团集成</w:t>
      </w:r>
      <w:r>
        <w:rPr>
          <w:rFonts w:ascii="Times New Roman" w:eastAsia="方正仿宋_GBK" w:cs="Times New Roman" w:hAnsi="Times New Roman"/>
          <w:sz w:val="32"/>
          <w:szCs w:val="32"/>
          <w:lang w:eastAsia="zh-CN"/>
        </w:rPr>
        <w:t>接口</w:t>
      </w:r>
      <w:r>
        <w:rPr>
          <w:rFonts w:ascii="Times New Roman" w:eastAsia="方正仿宋_GBK" w:cs="Times New Roman" w:hAnsi="Times New Roman"/>
          <w:sz w:val="32"/>
          <w:szCs w:val="32"/>
        </w:rPr>
        <w:t>平台推送至统建</w:t>
      </w:r>
      <w:r>
        <w:rPr>
          <w:rFonts w:ascii="Times New Roman" w:eastAsia="方正仿宋_GBK" w:cs="Times New Roman" w:hAnsi="Times New Roman"/>
          <w:sz w:val="32"/>
          <w:szCs w:val="32"/>
          <w:lang w:eastAsia="zh-CN"/>
        </w:rPr>
        <w:t>供应链业财一体化</w:t>
      </w:r>
      <w:r>
        <w:rPr>
          <w:rFonts w:ascii="Times New Roman" w:eastAsia="方正仿宋_GBK" w:cs="Times New Roman" w:hAnsi="Times New Roman"/>
          <w:sz w:val="32"/>
          <w:szCs w:val="32"/>
        </w:rPr>
        <w:t>系统成本模块，作为全成本核算中</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工、费”的数据来源。</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料（材料成本）</w:t>
      </w:r>
      <w:r>
        <w:rPr>
          <w:rFonts w:ascii="Times New Roman" w:eastAsia="方正仿宋_GBK" w:cs="Times New Roman" w:hAnsi="Times New Roman"/>
          <w:sz w:val="32"/>
          <w:szCs w:val="32"/>
        </w:rPr>
        <w:t>：通过生产领料单自动归集材料成本，支持按订单、按批次、按产品归集</w:t>
      </w:r>
      <w:r>
        <w:rPr>
          <w:rFonts w:ascii="Times New Roman" w:eastAsia="方正仿宋_GBK" w:cs="Times New Roman" w:hAnsi="Times New Roman"/>
          <w:sz w:val="32"/>
          <w:szCs w:val="32"/>
          <w:lang w:eastAsia="zh-CN"/>
        </w:rPr>
        <w:t>。</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工（人工费用）</w:t>
      </w:r>
      <w:r>
        <w:rPr>
          <w:rFonts w:ascii="Times New Roman" w:eastAsia="方正仿宋_GBK" w:cs="Times New Roman" w:hAnsi="Times New Roman"/>
          <w:sz w:val="32"/>
          <w:szCs w:val="32"/>
        </w:rPr>
        <w:t>：从浪潮人工费用总账凭证导入，按实际工时或标准工时分摊到成本对象</w:t>
      </w:r>
      <w:r>
        <w:rPr>
          <w:rFonts w:ascii="Times New Roman" w:eastAsia="方正仿宋_GBK" w:cs="Times New Roman" w:hAnsi="Times New Roman"/>
          <w:sz w:val="32"/>
          <w:szCs w:val="32"/>
          <w:lang w:eastAsia="zh-CN"/>
        </w:rPr>
        <w:t>。</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费（制造费用）</w:t>
      </w:r>
      <w:r>
        <w:rPr>
          <w:rFonts w:ascii="Times New Roman" w:eastAsia="方正仿宋_GBK" w:cs="Times New Roman" w:hAnsi="Times New Roman"/>
          <w:sz w:val="32"/>
          <w:szCs w:val="32"/>
        </w:rPr>
        <w:t>：从浪潮制造费用总账凭证导入，按产量、工时、面积等基准分摊到成本对象</w:t>
      </w:r>
      <w:r>
        <w:rPr>
          <w:rFonts w:ascii="Times New Roman" w:eastAsia="方正仿宋_GBK" w:cs="Times New Roman" w:hAnsi="Times New Roman"/>
          <w:sz w:val="32"/>
          <w:szCs w:val="32"/>
          <w:lang w:eastAsia="zh-CN"/>
        </w:rPr>
        <w:t>。</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b w:val="0"/>
          <w:bCs w:val="0"/>
          <w:sz w:val="32"/>
          <w:szCs w:val="32"/>
          <w:lang w:val="en-US" w:eastAsia="zh-CN"/>
        </w:rPr>
      </w:pPr>
      <w:bookmarkStart w:id="16" w:name="_Toc235194878"/>
      <w:r>
        <w:rPr>
          <w:rFonts w:ascii="Times New Roman" w:eastAsia="方正仿宋_GBK" w:cs="Times New Roman" w:hAnsi="Times New Roman"/>
          <w:b/>
          <w:bCs/>
          <w:sz w:val="32"/>
          <w:szCs w:val="32"/>
          <w:lang w:val="en-US" w:eastAsia="zh-CN"/>
        </w:rPr>
        <w:t>全成本</w:t>
      </w:r>
      <w:bookmarkEnd w:id="16"/>
      <w:r>
        <w:rPr>
          <w:rFonts w:ascii="Times New Roman" w:eastAsia="方正仿宋_GBK" w:cs="Times New Roman" w:hAnsi="Times New Roman"/>
          <w:b/>
          <w:bCs/>
          <w:sz w:val="32"/>
          <w:szCs w:val="32"/>
          <w:lang w:val="en-US" w:eastAsia="zh-CN"/>
        </w:rPr>
        <w:t>核算管理：</w:t>
      </w:r>
      <w:r>
        <w:rPr>
          <w:rFonts w:ascii="Times New Roman" w:eastAsia="方正仿宋_GBK" w:cs="Times New Roman" w:hAnsi="Times New Roman"/>
          <w:b w:val="0"/>
          <w:bCs w:val="0"/>
          <w:sz w:val="32"/>
          <w:szCs w:val="32"/>
          <w:lang w:val="en-US" w:eastAsia="zh-CN"/>
        </w:rPr>
        <w:t>产品成本实现企业对采购或生产加工产品的“料、工、费”全成本进行记录、计量、归集、分配，提高成本核算的快捷性、准确性。实现企业在采购、生产、销售各个业务环节方面的精细化管理、控制，辅助企业战略投资、决策、考核，从而达到效益利润最大化。</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产品成本主要包括：</w:t>
      </w:r>
      <w:r>
        <w:rPr>
          <w:rFonts w:ascii="Times New Roman" w:eastAsia="方正仿宋_GBK" w:cs="Times New Roman" w:hAnsi="Times New Roman"/>
          <w:sz w:val="32"/>
          <w:szCs w:val="32"/>
        </w:rPr>
        <w:t>基础设置、期初管理、成本资料归集、成本核算、期末处理、报表查询等功能。</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系统支持成本核算策略制定与灵活配置，支持按不同核算粒度（如按订单、按批次、按产品等）的成本归集要求。</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在业务数据归集方面，系统一体化集成采购、生产、委外、库存、销售、财务等各业务模块，实现成本数据的自动采集与实时归集。</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系统支持设置灵活的分摊方法，包括共用料、制造费用、人工费用等分摊，可按照不同业务对象和度量方式归集形成用于产品成本计算。比如：可以按各订单发生的实际工时分配成本中心的费用到各订单，在此实际工时便是分摊方法，可以按照产品产量、标准定额耗用等进行分摊。不同的分摊方法适合不同的产品成本计算模式。</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b/>
          <w:bCs/>
          <w:sz w:val="32"/>
          <w:szCs w:val="32"/>
        </w:rPr>
        <w:t>成本报表分析：</w:t>
      </w:r>
      <w:r>
        <w:rPr>
          <w:rFonts w:ascii="Times New Roman" w:eastAsia="方正仿宋_GBK" w:cs="Times New Roman" w:hAnsi="Times New Roman"/>
          <w:sz w:val="32"/>
          <w:szCs w:val="32"/>
        </w:rPr>
        <w:t>支持按产品、订单、客户、组织等多维度分析产品成本构成、成本分析为企业经营提供直观、精准的成本视图，推动企业向精益化管理、价值型经营、实现降本增效的目标</w:t>
      </w:r>
      <w:r>
        <w:rPr>
          <w:rFonts w:ascii="Times New Roman" w:eastAsia="方正仿宋_GBK" w:cs="Times New Roman" w:hAnsi="Times New Roman"/>
          <w:sz w:val="32"/>
          <w:szCs w:val="32"/>
          <w:lang w:eastAsia="zh-CN"/>
        </w:rPr>
        <w:t>。</w:t>
      </w:r>
    </w:p>
    <w:p>
      <w:pPr>
        <w:pStyle w:val="2"/>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lang w:val="en-US"/>
        </w:rPr>
      </w:pPr>
      <w:r>
        <w:rPr>
          <w:rFonts w:ascii="Times New Roman" w:eastAsia="方正黑体_GBK" w:cs="Times New Roman" w:hAnsi="Times New Roman"/>
          <w:b w:val="0"/>
          <w:bCs/>
          <w:kern w:val="44"/>
          <w:sz w:val="32"/>
          <w:szCs w:val="32"/>
          <w:lang w:val="en-US" w:eastAsia="zh-CN" w:bidi="ar-SA"/>
        </w:rPr>
        <w:t>九、项目建设</w:t>
      </w:r>
      <w:bookmarkEnd w:id="8"/>
      <w:r>
        <w:rPr>
          <w:rFonts w:ascii="Times New Roman" w:eastAsia="方正黑体_GBK" w:cs="Times New Roman" w:hAnsi="Times New Roman"/>
          <w:b w:val="0"/>
          <w:bCs/>
          <w:kern w:val="44"/>
          <w:sz w:val="32"/>
          <w:szCs w:val="32"/>
          <w:lang w:val="en-US" w:eastAsia="zh-CN" w:bidi="ar-SA"/>
        </w:rPr>
        <w:t>阶段</w:t>
      </w:r>
    </w:p>
    <w:p>
      <w:pPr>
        <w:pStyle w:val="24"/>
        <w:pageBreakBefore w:val="0"/>
        <w:widowControl w:val="0"/>
        <w:kinsoku/>
        <w:wordWrap/>
        <w:overflowPunct/>
        <w:topLinePunct w:val="0"/>
        <w:bidi w:val="0"/>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项目整体实施策略遵循</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先试点、后推广”，分三阶段推进：</w:t>
      </w:r>
    </w:p>
    <w:p>
      <w:pPr>
        <w:pStyle w:val="24"/>
        <w:pageBreakBefore w:val="0"/>
        <w:widowControl w:val="0"/>
        <w:kinsoku/>
        <w:wordWrap/>
        <w:overflowPunct/>
        <w:topLinePunct w:val="0"/>
        <w:bidi w:val="0"/>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楷体_GBK" w:cs="Times New Roman" w:hAnsi="Times New Roman"/>
          <w:b w:val="0"/>
          <w:bCs/>
          <w:sz w:val="32"/>
          <w:szCs w:val="32"/>
          <w:lang w:val="en-US" w:eastAsia="zh-CN"/>
        </w:rPr>
        <w:t>（一）试点建设（三峡渔业+健康产业）</w:t>
      </w:r>
    </w:p>
    <w:p>
      <w:pPr>
        <w:pStyle w:val="57"/>
        <w:pageBreakBefore w:val="0"/>
        <w:widowControl w:val="0"/>
        <w:kinsoku/>
        <w:wordWrap/>
        <w:overflowPunct/>
        <w:topLinePunct w:val="0"/>
        <w:bidi w:val="0"/>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sz w:val="32"/>
          <w:szCs w:val="32"/>
        </w:rPr>
        <w:t>验证多组织架构下数据标准的统一性和适配性</w:t>
      </w:r>
      <w:r>
        <w:rPr>
          <w:rFonts w:ascii="Times New Roman" w:eastAsia="方正仿宋_GBK" w:cs="Times New Roman" w:hAnsi="Times New Roman"/>
          <w:sz w:val="32"/>
          <w:szCs w:val="32"/>
          <w:lang w:eastAsia="zh-CN"/>
        </w:rPr>
        <w:t>。</w:t>
      </w:r>
    </w:p>
    <w:p>
      <w:pPr>
        <w:pStyle w:val="57"/>
        <w:pageBreakBefore w:val="0"/>
        <w:widowControl w:val="0"/>
        <w:kinsoku/>
        <w:wordWrap/>
        <w:overflowPunct/>
        <w:topLinePunct w:val="0"/>
        <w:bidi w:val="0"/>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sz w:val="32"/>
          <w:szCs w:val="32"/>
        </w:rPr>
        <w:t>积累不同业务场景（</w:t>
      </w:r>
      <w:r>
        <w:rPr>
          <w:rFonts w:ascii="Times New Roman" w:eastAsia="方正仿宋_GBK" w:cs="Times New Roman" w:hAnsi="Times New Roman"/>
          <w:sz w:val="32"/>
          <w:szCs w:val="32"/>
          <w:lang w:eastAsia="zh-CN"/>
        </w:rPr>
        <w:t>三峡渔业的养殖</w:t>
      </w:r>
      <w:r>
        <w:rPr>
          <w:rFonts w:ascii="Times New Roman" w:eastAsia="方正仿宋_GBK" w:cs="Times New Roman" w:hAnsi="Times New Roman"/>
          <w:sz w:val="32"/>
          <w:szCs w:val="32"/>
        </w:rPr>
        <w:t>vs</w:t>
      </w:r>
      <w:r>
        <w:rPr>
          <w:rFonts w:ascii="Times New Roman" w:eastAsia="方正仿宋_GBK" w:cs="Times New Roman" w:hAnsi="Times New Roman"/>
          <w:sz w:val="32"/>
          <w:szCs w:val="32"/>
          <w:lang w:eastAsia="zh-CN"/>
        </w:rPr>
        <w:t>健康产业</w:t>
      </w:r>
      <w:r>
        <w:rPr>
          <w:rFonts w:ascii="Times New Roman" w:eastAsia="方正仿宋_GBK" w:cs="Times New Roman" w:hAnsi="Times New Roman"/>
          <w:sz w:val="32"/>
          <w:szCs w:val="32"/>
        </w:rPr>
        <w:t>的种植）的差异化实施经验</w:t>
      </w:r>
      <w:r>
        <w:rPr>
          <w:rFonts w:ascii="Times New Roman" w:eastAsia="方正仿宋_GBK" w:cs="Times New Roman" w:hAnsi="Times New Roman"/>
          <w:sz w:val="32"/>
          <w:szCs w:val="32"/>
          <w:lang w:eastAsia="zh-CN"/>
        </w:rPr>
        <w:t>。</w:t>
      </w:r>
    </w:p>
    <w:p>
      <w:pPr>
        <w:pStyle w:val="57"/>
        <w:pageBreakBefore w:val="0"/>
        <w:widowControl w:val="0"/>
        <w:kinsoku/>
        <w:wordWrap/>
        <w:overflowPunct/>
        <w:topLinePunct w:val="0"/>
        <w:bidi w:val="0"/>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sz w:val="32"/>
          <w:szCs w:val="32"/>
        </w:rPr>
        <w:t>验证统建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与集团浪潮财务系统、司库系统、银企直联的多组织集成效果</w:t>
      </w:r>
      <w:r>
        <w:rPr>
          <w:rFonts w:ascii="Times New Roman" w:eastAsia="方正仿宋_GBK" w:cs="Times New Roman" w:hAnsi="Times New Roman"/>
          <w:sz w:val="32"/>
          <w:szCs w:val="32"/>
          <w:lang w:eastAsia="zh-CN"/>
        </w:rPr>
        <w:t>。</w:t>
      </w:r>
    </w:p>
    <w:p>
      <w:pPr>
        <w:pStyle w:val="24"/>
        <w:pageBreakBefore w:val="0"/>
        <w:widowControl w:val="0"/>
        <w:kinsoku/>
        <w:wordWrap/>
        <w:overflowPunct/>
        <w:topLinePunct w:val="0"/>
        <w:bidi w:val="0"/>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试点阶段计划用时约</w:t>
      </w:r>
      <w:r>
        <w:rPr>
          <w:rFonts w:ascii="Times New Roman" w:eastAsia="方正仿宋_GBK" w:cs="Times New Roman" w:hAnsi="Times New Roman"/>
          <w:sz w:val="32"/>
          <w:szCs w:val="32"/>
          <w:lang w:val="en-US" w:eastAsia="zh-CN"/>
        </w:rPr>
        <w:t>3</w:t>
      </w:r>
      <w:r>
        <w:rPr>
          <w:rFonts w:ascii="Times New Roman" w:eastAsia="方正仿宋_GBK" w:cs="Times New Roman" w:hAnsi="Times New Roman"/>
          <w:sz w:val="32"/>
          <w:szCs w:val="32"/>
        </w:rPr>
        <w:t>个月，完成蓝图设计、系统改造与配置、数据迁移、集成联调、用户培训、上线切换等工作。</w:t>
      </w:r>
    </w:p>
    <w:p>
      <w:pPr>
        <w:pStyle w:val="24"/>
        <w:pageBreakBefore w:val="0"/>
        <w:widowControl w:val="0"/>
        <w:kinsoku/>
        <w:wordWrap/>
        <w:overflowPunct/>
        <w:topLinePunct w:val="0"/>
        <w:bidi w:val="0"/>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lang w:val="en-US" w:eastAsia="zh-CN"/>
        </w:rPr>
      </w:pPr>
      <w:r>
        <w:rPr>
          <w:rFonts w:ascii="Times New Roman" w:eastAsia="方正楷体_GBK" w:cs="Times New Roman" w:hAnsi="Times New Roman"/>
          <w:b w:val="0"/>
          <w:bCs/>
          <w:sz w:val="32"/>
          <w:szCs w:val="32"/>
          <w:lang w:val="en-US" w:eastAsia="zh-CN"/>
        </w:rPr>
        <w:t>（二）推广建设（农投肉品、农投良品、巫山粮食、农垦发展、农投资产、华牧农业）</w:t>
      </w:r>
    </w:p>
    <w:p>
      <w:pPr>
        <w:pStyle w:val="24"/>
        <w:pageBreakBefore w:val="0"/>
        <w:widowControl w:val="0"/>
        <w:kinsoku/>
        <w:wordWrap/>
        <w:overflowPunct/>
        <w:topLinePunct w:val="0"/>
        <w:bidi w:val="0"/>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试点验收通过后，将试点沉淀的标准模板、集成方案、实施方法论快速复制到其余6家企业。由于标杆经验已在试点阶段验证，推广阶段重点关注各企业的个性化流程适配和历史数据迁移。</w:t>
      </w:r>
    </w:p>
    <w:p>
      <w:pPr>
        <w:pStyle w:val="24"/>
        <w:pageBreakBefore w:val="0"/>
        <w:widowControl w:val="0"/>
        <w:kinsoku/>
        <w:wordWrap/>
        <w:overflowPunct/>
        <w:topLinePunct w:val="0"/>
        <w:bidi w:val="0"/>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推广阶段计划用时约</w:t>
      </w:r>
      <w:r>
        <w:rPr>
          <w:rFonts w:ascii="Times New Roman" w:eastAsia="方正仿宋_GBK" w:cs="Times New Roman" w:hAnsi="Times New Roman"/>
          <w:sz w:val="32"/>
          <w:szCs w:val="32"/>
          <w:lang w:val="en-US" w:eastAsia="zh-CN"/>
        </w:rPr>
        <w:t>1</w:t>
      </w:r>
      <w:r>
        <w:rPr>
          <w:rFonts w:ascii="Times New Roman" w:eastAsia="方正仿宋_GBK" w:cs="Times New Roman" w:hAnsi="Times New Roman"/>
          <w:sz w:val="32"/>
          <w:szCs w:val="32"/>
        </w:rPr>
        <w:t>个月，6家企业并行推进，实现系统上线。</w:t>
      </w:r>
    </w:p>
    <w:p>
      <w:pPr>
        <w:pStyle w:val="24"/>
        <w:pageBreakBefore w:val="0"/>
        <w:widowControl w:val="0"/>
        <w:kinsoku/>
        <w:wordWrap/>
        <w:overflowPunct/>
        <w:topLinePunct w:val="0"/>
        <w:bidi w:val="0"/>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lang w:val="en-US" w:eastAsia="zh-CN"/>
        </w:rPr>
      </w:pPr>
      <w:r>
        <w:rPr>
          <w:rFonts w:ascii="Times New Roman" w:eastAsia="方正楷体_GBK" w:cs="Times New Roman" w:hAnsi="Times New Roman"/>
          <w:b w:val="0"/>
          <w:bCs/>
          <w:sz w:val="32"/>
          <w:szCs w:val="32"/>
          <w:lang w:val="en-US" w:eastAsia="zh-CN"/>
        </w:rPr>
        <w:t>（</w:t>
      </w:r>
      <w:r>
        <w:rPr>
          <w:rFonts w:ascii="Times New Roman" w:eastAsia="方正楷体_GBK" w:cs="Times New Roman" w:hAnsi="Times New Roman"/>
          <w:b w:val="0"/>
          <w:bCs/>
          <w:sz w:val="32"/>
          <w:szCs w:val="32"/>
          <w:lang w:val="en-US" w:eastAsia="zh-CN"/>
        </w:rPr>
        <w:t>三</w:t>
      </w:r>
      <w:r>
        <w:rPr>
          <w:rFonts w:ascii="Times New Roman" w:eastAsia="方正楷体_GBK" w:cs="Times New Roman" w:hAnsi="Times New Roman"/>
          <w:b w:val="0"/>
          <w:bCs/>
          <w:sz w:val="32"/>
          <w:szCs w:val="32"/>
          <w:lang w:val="en-US" w:eastAsia="zh-CN"/>
        </w:rPr>
        <w:t>）</w:t>
      </w:r>
      <w:r>
        <w:rPr>
          <w:rFonts w:ascii="Times New Roman" w:eastAsia="方正楷体_GBK" w:cs="Times New Roman" w:hAnsi="Times New Roman"/>
          <w:b w:val="0"/>
          <w:bCs/>
          <w:sz w:val="32"/>
          <w:szCs w:val="32"/>
          <w:lang w:val="en-US" w:eastAsia="zh-CN"/>
        </w:rPr>
        <w:t>项目验收与优化</w:t>
      </w:r>
    </w:p>
    <w:p>
      <w:pPr>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全部企业上线稳定运行2个月后，组织项目总体验收，总结建设成果，形成运维移交报告，进入常态化运营阶段。</w:t>
      </w: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Times New Roman" w:eastAsia="方正黑体_GBK" w:cs="Times New Roman" w:hAnsi="Times New Roman"/>
          <w:sz w:val="28"/>
          <w:szCs w:val="28"/>
        </w:rPr>
      </w:pPr>
      <w:r>
        <w:rPr>
          <w:rFonts w:ascii="Times New Roman" w:eastAsia="方正黑体_GBK" w:cs="Times New Roman" w:hAnsi="Times New Roman"/>
          <w:sz w:val="28"/>
          <w:szCs w:val="28"/>
          <w:lang w:eastAsia="zh-CN"/>
        </w:rPr>
        <w:t>表</w:t>
      </w:r>
      <w:r>
        <w:rPr>
          <w:rFonts w:ascii="Times New Roman" w:eastAsia="方正黑体_GBK" w:cs="Times New Roman" w:hAnsi="Times New Roman"/>
          <w:sz w:val="28"/>
          <w:szCs w:val="28"/>
          <w:lang w:val="en-US" w:eastAsia="zh-CN"/>
        </w:rPr>
        <w:t>1  项目建设</w:t>
      </w:r>
      <w:r>
        <w:rPr>
          <w:rFonts w:ascii="Times New Roman" w:eastAsia="方正黑体_GBK" w:cs="Times New Roman" w:hAnsi="Times New Roman"/>
          <w:sz w:val="28"/>
          <w:szCs w:val="28"/>
        </w:rPr>
        <w:t>里程碑计划</w:t>
      </w:r>
    </w:p>
    <w:tbl>
      <w:tblPr>
        <w:jc w:val="left"/>
        <w:tblInd w:w="0" w:type="dxa"/>
        <w:tblW w:w="5000"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307"/>
        <w:gridCol w:w="2455"/>
        <w:gridCol w:w="4467"/>
      </w:tblGrid>
      <w:tr>
        <w:trPr>
          <w:tblHeader/>
        </w:trPr>
        <w:tc>
          <w:tcPr>
            <w:tcW w:w="1250" w:type="pct"/>
            <w:tcBorders>
              <w:top w:val="single" w:sz="4" w:space="0" w:color="auto"/>
              <w:left w:val="single" w:sz="4" w:space="0" w:color="auto"/>
              <w:bottom w:val="single" w:sz="4" w:space="0" w:color="auto"/>
              <w:right w:val="single" w:sz="4" w:space="0" w:color="auto"/>
              <w:tl2br w:val="nil"/>
              <w:tr2bl w:val="nil"/>
            </w:tcBorders>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right="0"/>
              <w:jc w:val="center"/>
              <w:textAlignment w:val="auto"/>
              <w:rPr>
                <w:rFonts w:ascii="Times New Roman" w:eastAsia="方正仿宋_GBK" w:cs="Times New Roman" w:hAnsi="Times New Roman"/>
                <w:b/>
                <w:bCs/>
                <w:sz w:val="24"/>
                <w:szCs w:val="24"/>
              </w:rPr>
            </w:pPr>
            <w:r>
              <w:rPr>
                <w:rFonts w:ascii="Times New Roman" w:eastAsia="方正仿宋_GBK" w:cs="Times New Roman" w:hAnsi="Times New Roman"/>
                <w:b/>
                <w:bCs/>
                <w:sz w:val="24"/>
                <w:szCs w:val="24"/>
              </w:rPr>
              <w:t>阶段</w:t>
            </w:r>
          </w:p>
        </w:tc>
        <w:tc>
          <w:tcPr>
            <w:tcW w:w="1330" w:type="pct"/>
            <w:tcBorders>
              <w:top w:val="single" w:sz="4" w:space="0" w:color="auto"/>
              <w:left w:val="single" w:sz="4" w:space="0" w:color="auto"/>
              <w:bottom w:val="single" w:sz="4" w:space="0" w:color="auto"/>
              <w:right w:val="single" w:sz="4" w:space="0" w:color="auto"/>
              <w:tl2br w:val="nil"/>
              <w:tr2bl w:val="nil"/>
            </w:tcBorders>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right="0"/>
              <w:jc w:val="center"/>
              <w:textAlignment w:val="auto"/>
              <w:rPr>
                <w:rFonts w:ascii="Times New Roman" w:eastAsia="方正仿宋_GBK" w:cs="Times New Roman" w:hAnsi="Times New Roman"/>
                <w:b/>
                <w:bCs/>
                <w:sz w:val="24"/>
                <w:szCs w:val="24"/>
              </w:rPr>
            </w:pPr>
            <w:r>
              <w:rPr>
                <w:rFonts w:ascii="Times New Roman" w:eastAsia="方正仿宋_GBK" w:cs="Times New Roman" w:hAnsi="Times New Roman"/>
                <w:b/>
                <w:bCs/>
                <w:sz w:val="24"/>
                <w:szCs w:val="24"/>
              </w:rPr>
              <w:t>时间节点</w:t>
            </w:r>
          </w:p>
        </w:tc>
        <w:tc>
          <w:tcPr>
            <w:tcW w:w="2420" w:type="pct"/>
            <w:tcBorders>
              <w:top w:val="single" w:sz="4" w:space="0" w:color="auto"/>
              <w:left w:val="single" w:sz="4" w:space="0" w:color="auto"/>
              <w:bottom w:val="single" w:sz="4" w:space="0" w:color="auto"/>
              <w:right w:val="single" w:sz="4" w:space="0" w:color="auto"/>
              <w:tl2br w:val="nil"/>
              <w:tr2bl w:val="nil"/>
            </w:tcBorders>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right="0"/>
              <w:jc w:val="center"/>
              <w:textAlignment w:val="auto"/>
              <w:rPr>
                <w:rFonts w:ascii="Times New Roman" w:eastAsia="方正仿宋_GBK" w:cs="Times New Roman" w:hAnsi="Times New Roman"/>
                <w:b/>
                <w:bCs/>
                <w:sz w:val="24"/>
                <w:szCs w:val="24"/>
              </w:rPr>
            </w:pPr>
            <w:r>
              <w:rPr>
                <w:rFonts w:ascii="Times New Roman" w:eastAsia="方正仿宋_GBK" w:cs="Times New Roman" w:hAnsi="Times New Roman"/>
                <w:b/>
                <w:bCs/>
                <w:sz w:val="24"/>
                <w:szCs w:val="24"/>
              </w:rPr>
              <w:t>主要工作</w:t>
            </w:r>
          </w:p>
        </w:tc>
      </w:tr>
      <w:tr>
        <w:tc>
          <w:tcPr>
            <w:tcW w:w="125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left="0" w:right="0" w:firstLineChars="200" w:firstLine="480"/>
              <w:jc w:val="center"/>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rPr>
              <w:t>试点启动</w:t>
            </w:r>
          </w:p>
        </w:tc>
        <w:tc>
          <w:tcPr>
            <w:tcW w:w="133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left="0" w:right="0" w:firstLineChars="200" w:firstLine="480"/>
              <w:jc w:val="center"/>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rPr>
              <w:t>2026年8月</w:t>
            </w:r>
          </w:p>
        </w:tc>
        <w:tc>
          <w:tcPr>
            <w:tcW w:w="242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right="0"/>
              <w:jc w:val="left"/>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rPr>
              <w:t>项目启动、需求调研、蓝图方案设计</w:t>
            </w:r>
          </w:p>
        </w:tc>
      </w:tr>
      <w:tr>
        <w:tc>
          <w:tcPr>
            <w:tcW w:w="125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left="0" w:right="0" w:firstLineChars="200" w:firstLine="480"/>
              <w:jc w:val="center"/>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rPr>
              <w:t>试点建设</w:t>
            </w:r>
          </w:p>
        </w:tc>
        <w:tc>
          <w:tcPr>
            <w:tcW w:w="133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left="0" w:right="0" w:firstLineChars="200" w:firstLine="480"/>
              <w:jc w:val="center"/>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rPr>
              <w:t>2026年8</w:t>
            </w:r>
            <w:r>
              <w:rPr>
                <w:rFonts w:ascii="Times New Roman" w:eastAsia="方正仿宋_GBK" w:cs="Times New Roman" w:hAnsi="Times New Roman"/>
                <w:sz w:val="24"/>
                <w:szCs w:val="24"/>
                <w:lang w:val="en-US" w:eastAsia="zh-CN"/>
              </w:rPr>
              <w:t>—9</w:t>
            </w:r>
            <w:r>
              <w:rPr>
                <w:rFonts w:ascii="Times New Roman" w:eastAsia="方正仿宋_GBK" w:cs="Times New Roman" w:hAnsi="Times New Roman"/>
                <w:sz w:val="24"/>
                <w:szCs w:val="24"/>
              </w:rPr>
              <w:t>月</w:t>
            </w:r>
          </w:p>
        </w:tc>
        <w:tc>
          <w:tcPr>
            <w:tcW w:w="242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right="0"/>
              <w:jc w:val="left"/>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rPr>
              <w:t>系统改造、集成开发、数据迁移、用户培训</w:t>
            </w:r>
          </w:p>
        </w:tc>
      </w:tr>
      <w:tr>
        <w:tc>
          <w:tcPr>
            <w:tcW w:w="125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left="0" w:right="0" w:firstLineChars="200" w:firstLine="480"/>
              <w:jc w:val="center"/>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rPr>
              <w:t>试点上线</w:t>
            </w:r>
          </w:p>
        </w:tc>
        <w:tc>
          <w:tcPr>
            <w:tcW w:w="133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left="0" w:right="0" w:firstLineChars="200" w:firstLine="480"/>
              <w:jc w:val="center"/>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rPr>
              <w:t>2026年</w:t>
            </w:r>
            <w:r>
              <w:rPr>
                <w:rFonts w:ascii="Times New Roman" w:eastAsia="方正仿宋_GBK" w:cs="Times New Roman" w:hAnsi="Times New Roman"/>
                <w:sz w:val="24"/>
                <w:szCs w:val="24"/>
                <w:lang w:val="en-US" w:eastAsia="zh-CN"/>
              </w:rPr>
              <w:t>11</w:t>
            </w:r>
            <w:r>
              <w:rPr>
                <w:rFonts w:ascii="Times New Roman" w:eastAsia="方正仿宋_GBK" w:cs="Times New Roman" w:hAnsi="Times New Roman"/>
                <w:sz w:val="24"/>
                <w:szCs w:val="24"/>
              </w:rPr>
              <w:t>月</w:t>
            </w:r>
          </w:p>
        </w:tc>
        <w:tc>
          <w:tcPr>
            <w:tcW w:w="242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right="0"/>
              <w:jc w:val="left"/>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lang w:eastAsia="zh-CN"/>
              </w:rPr>
              <w:t>三峡渔业、</w:t>
            </w:r>
            <w:r>
              <w:rPr>
                <w:rFonts w:ascii="Times New Roman" w:eastAsia="方正仿宋_GBK" w:cs="Times New Roman" w:hAnsi="Times New Roman"/>
                <w:sz w:val="24"/>
                <w:szCs w:val="24"/>
              </w:rPr>
              <w:t>健康产业系统</w:t>
            </w:r>
            <w:r>
              <w:rPr>
                <w:rFonts w:ascii="Times New Roman" w:eastAsia="方正仿宋_GBK" w:cs="Times New Roman" w:hAnsi="Times New Roman"/>
                <w:sz w:val="24"/>
                <w:szCs w:val="24"/>
                <w:lang w:eastAsia="zh-CN"/>
              </w:rPr>
              <w:t>试点</w:t>
            </w:r>
            <w:r>
              <w:rPr>
                <w:rFonts w:ascii="Times New Roman" w:eastAsia="方正仿宋_GBK" w:cs="Times New Roman" w:hAnsi="Times New Roman"/>
                <w:sz w:val="24"/>
                <w:szCs w:val="24"/>
              </w:rPr>
              <w:t>上线</w:t>
            </w:r>
          </w:p>
        </w:tc>
      </w:tr>
      <w:tr>
        <w:tc>
          <w:tcPr>
            <w:tcW w:w="125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left="0" w:right="0" w:firstLineChars="200" w:firstLine="480"/>
              <w:jc w:val="center"/>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rPr>
              <w:t>推广建设</w:t>
            </w:r>
          </w:p>
        </w:tc>
        <w:tc>
          <w:tcPr>
            <w:tcW w:w="133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left="0" w:right="0" w:firstLineChars="200" w:firstLine="480"/>
              <w:jc w:val="center"/>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rPr>
              <w:t>202</w:t>
            </w:r>
            <w:r>
              <w:rPr>
                <w:rFonts w:ascii="Times New Roman" w:eastAsia="方正仿宋_GBK" w:cs="Times New Roman" w:hAnsi="Times New Roman"/>
                <w:sz w:val="24"/>
                <w:szCs w:val="24"/>
                <w:lang w:val="en-US" w:eastAsia="zh-CN"/>
              </w:rPr>
              <w:t>6</w:t>
            </w:r>
            <w:r>
              <w:rPr>
                <w:rFonts w:ascii="Times New Roman" w:eastAsia="方正仿宋_GBK" w:cs="Times New Roman" w:hAnsi="Times New Roman"/>
                <w:sz w:val="24"/>
                <w:szCs w:val="24"/>
              </w:rPr>
              <w:t>年1</w:t>
            </w:r>
            <w:r>
              <w:rPr>
                <w:rFonts w:ascii="Times New Roman" w:eastAsia="方正仿宋_GBK" w:cs="Times New Roman" w:hAnsi="Times New Roman"/>
                <w:sz w:val="24"/>
                <w:szCs w:val="24"/>
                <w:lang w:val="en-US" w:eastAsia="zh-CN"/>
              </w:rPr>
              <w:t>1—12</w:t>
            </w:r>
            <w:r>
              <w:rPr>
                <w:rFonts w:ascii="Times New Roman" w:eastAsia="方正仿宋_GBK" w:cs="Times New Roman" w:hAnsi="Times New Roman"/>
                <w:sz w:val="24"/>
                <w:szCs w:val="24"/>
              </w:rPr>
              <w:t>月</w:t>
            </w:r>
          </w:p>
        </w:tc>
        <w:tc>
          <w:tcPr>
            <w:tcW w:w="242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right="0"/>
              <w:jc w:val="left"/>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lang w:val="en-US" w:eastAsia="zh-CN"/>
              </w:rPr>
              <w:t>农投肉品、农投良品、巫山粮食、农垦发展、农投资产、华牧农业</w:t>
            </w:r>
            <w:r>
              <w:rPr>
                <w:rFonts w:ascii="Times New Roman" w:eastAsia="方正仿宋_GBK" w:cs="Times New Roman" w:hAnsi="Times New Roman"/>
                <w:sz w:val="24"/>
                <w:szCs w:val="24"/>
              </w:rPr>
              <w:t>6家企业上线</w:t>
            </w:r>
          </w:p>
        </w:tc>
      </w:tr>
      <w:tr>
        <w:tc>
          <w:tcPr>
            <w:tcW w:w="125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left="0" w:right="0" w:firstLineChars="200" w:firstLine="480"/>
              <w:jc w:val="center"/>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rPr>
              <w:t>项目验收</w:t>
            </w:r>
          </w:p>
        </w:tc>
        <w:tc>
          <w:tcPr>
            <w:tcW w:w="133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left="0" w:right="0" w:firstLineChars="200" w:firstLine="480"/>
              <w:jc w:val="center"/>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rPr>
              <w:t>2027年</w:t>
            </w:r>
            <w:r>
              <w:rPr>
                <w:rFonts w:ascii="Times New Roman" w:eastAsia="方正仿宋_GBK" w:cs="Times New Roman" w:hAnsi="Times New Roman"/>
                <w:sz w:val="24"/>
                <w:szCs w:val="24"/>
                <w:lang w:val="en-US" w:eastAsia="zh-CN"/>
              </w:rPr>
              <w:t>7</w:t>
            </w:r>
            <w:r>
              <w:rPr>
                <w:rFonts w:ascii="Times New Roman" w:eastAsia="方正仿宋_GBK" w:cs="Times New Roman" w:hAnsi="Times New Roman"/>
                <w:sz w:val="24"/>
                <w:szCs w:val="24"/>
              </w:rPr>
              <w:t>月</w:t>
            </w:r>
          </w:p>
        </w:tc>
        <w:tc>
          <w:tcPr>
            <w:tcW w:w="2420" w:type="pct"/>
            <w:tcBorders>
              <w:top w:val="single" w:sz="4" w:space="0" w:color="auto"/>
              <w:left w:val="single" w:sz="4" w:space="0" w:color="auto"/>
              <w:bottom w:val="single" w:sz="4" w:space="0" w:color="auto"/>
              <w:right w:val="single" w:sz="4" w:space="0" w:color="auto"/>
              <w:tl2br w:val="nil"/>
              <w:tr2bl w:val="nil"/>
            </w:tcBorders>
            <w:vAlign w:val="center"/>
          </w:tcPr>
          <w:p>
            <w:pPr>
              <w:pStyle w:val="57"/>
              <w:keepNext w:val="0"/>
              <w:keepLines w:val="0"/>
              <w:pageBreakBefore w:val="0"/>
              <w:widowControl w:val="0"/>
              <w:kinsoku/>
              <w:wordWrap/>
              <w:overflowPunct/>
              <w:topLinePunct w:val="0"/>
              <w:autoSpaceDE/>
              <w:autoSpaceDN/>
              <w:bidi w:val="0"/>
              <w:adjustRightInd/>
              <w:snapToGrid/>
              <w:spacing w:before="0" w:after="0" w:line="360" w:lineRule="exact"/>
              <w:ind w:right="0"/>
              <w:jc w:val="left"/>
              <w:textAlignment w:val="auto"/>
              <w:rPr>
                <w:rFonts w:ascii="Times New Roman" w:eastAsia="方正仿宋_GBK" w:cs="Times New Roman" w:hAnsi="Times New Roman"/>
                <w:sz w:val="24"/>
                <w:szCs w:val="24"/>
              </w:rPr>
            </w:pPr>
            <w:r>
              <w:rPr>
                <w:rFonts w:ascii="Times New Roman" w:eastAsia="方正仿宋_GBK" w:cs="Times New Roman" w:hAnsi="Times New Roman"/>
                <w:sz w:val="24"/>
                <w:szCs w:val="24"/>
              </w:rPr>
              <w:t>稳定运行</w:t>
            </w:r>
            <w:r>
              <w:rPr>
                <w:rFonts w:ascii="Times New Roman" w:eastAsia="方正仿宋_GBK" w:cs="Times New Roman" w:hAnsi="Times New Roman"/>
                <w:sz w:val="24"/>
                <w:szCs w:val="24"/>
                <w:lang w:val="en-US" w:eastAsia="zh-CN"/>
              </w:rPr>
              <w:t>6</w:t>
            </w:r>
            <w:r>
              <w:rPr>
                <w:rFonts w:ascii="Times New Roman" w:eastAsia="方正仿宋_GBK" w:cs="Times New Roman" w:hAnsi="Times New Roman"/>
                <w:sz w:val="24"/>
                <w:szCs w:val="24"/>
              </w:rPr>
              <w:t>个月后总体验收</w:t>
            </w:r>
          </w:p>
        </w:tc>
      </w:tr>
    </w:tbl>
    <w:p>
      <w:pPr>
        <w:pStyle w:val="2"/>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lang w:val="en-US" w:eastAsia="zh-CN"/>
          <w:highlight w:val="none"/>
        </w:rPr>
      </w:pPr>
      <w:r>
        <w:rPr>
          <w:rFonts w:ascii="Times New Roman" w:eastAsia="方正黑体_GBK" w:cs="Times New Roman" w:hAnsi="Times New Roman"/>
          <w:b w:val="0"/>
          <w:bCs/>
          <w:sz w:val="32"/>
          <w:szCs w:val="32"/>
          <w:lang w:val="en-US" w:eastAsia="zh-CN"/>
        </w:rPr>
        <w:t>十、</w:t>
      </w:r>
      <w:r>
        <w:rPr>
          <w:rFonts w:ascii="Times New Roman" w:eastAsia="方正黑体_GBK" w:cs="Times New Roman" w:hAnsi="Times New Roman"/>
          <w:b w:val="0"/>
          <w:bCs/>
          <w:sz w:val="32"/>
          <w:szCs w:val="32"/>
          <w:lang w:val="en-US" w:eastAsia="zh-CN"/>
          <w:highlight w:val="none"/>
        </w:rPr>
        <w:t>系统选型要求</w:t>
      </w:r>
    </w:p>
    <w:p>
      <w:pPr>
        <w:pageBreakBefore w:val="0"/>
        <w:widowControl w:val="0"/>
        <w:kinsoku/>
        <w:wordWrap/>
        <w:overflowPunct/>
        <w:topLinePunct w:val="0"/>
        <w:autoSpaceDE/>
        <w:autoSpaceDN/>
        <w:bidi w:val="0"/>
        <w:snapToGrid/>
        <w:spacing w:line="600" w:lineRule="exact"/>
        <w:ind w:firstLineChars="200" w:firstLine="640"/>
        <w:jc w:val="left"/>
        <w:textAlignment w:val="auto"/>
        <w:rPr>
          <w:rFonts w:ascii="Times New Roman" w:eastAsia="方正仿宋_GBK" w:cs="Times New Roman" w:hAnsi="Times New Roman"/>
          <w:sz w:val="32"/>
          <w:szCs w:val="32"/>
          <w:lang w:val="en-US" w:eastAsia="zh-CN"/>
          <w:highlight w:val="none"/>
        </w:rPr>
      </w:pPr>
      <w:r>
        <w:rPr>
          <w:rFonts w:ascii="Times New Roman" w:eastAsia="方正仿宋_GBK" w:cs="Times New Roman" w:hAnsi="Times New Roman"/>
          <w:sz w:val="32"/>
          <w:szCs w:val="32"/>
          <w:lang w:val="en-US" w:eastAsia="zh-CN"/>
          <w:highlight w:val="none"/>
        </w:rPr>
        <w:t>系统应支持多组织、多</w:t>
      </w:r>
      <w:bookmarkStart w:id="17" w:name="_GoBack"/>
      <w:bookmarkEnd w:id="17"/>
      <w:r>
        <w:rPr>
          <w:rFonts w:ascii="Times New Roman" w:eastAsia="方正仿宋_GBK" w:cs="Times New Roman" w:hAnsi="Times New Roman"/>
          <w:sz w:val="32"/>
          <w:szCs w:val="32"/>
          <w:lang w:val="en-US" w:eastAsia="zh-CN"/>
          <w:highlight w:val="none"/>
        </w:rPr>
        <w:t>账簿的元数据驱动建模能力，可通过配置实现企业结构、组织架构、业务对象、用户与角色、权限体系、打印模板、基础数据档案等的动态调整，无需修改底层代码，满足农投集团集团化、多组织管理要求。</w:t>
      </w:r>
    </w:p>
    <w:p>
      <w:pPr>
        <w:pageBreakBefore w:val="0"/>
        <w:widowControl w:val="0"/>
        <w:kinsoku/>
        <w:wordWrap/>
        <w:overflowPunct/>
        <w:topLinePunct w:val="0"/>
        <w:autoSpaceDE/>
        <w:autoSpaceDN/>
        <w:bidi w:val="0"/>
        <w:snapToGrid/>
        <w:spacing w:line="600" w:lineRule="exact"/>
        <w:ind w:firstLineChars="200" w:firstLine="640"/>
        <w:jc w:val="left"/>
        <w:textAlignment w:val="auto"/>
        <w:rPr>
          <w:rFonts w:ascii="Times New Roman" w:eastAsia="方正仿宋_GBK" w:cs="Times New Roman" w:hAnsi="Times New Roman"/>
          <w:sz w:val="32"/>
          <w:szCs w:val="32"/>
          <w:lang w:val="en-US" w:eastAsia="zh-CN"/>
          <w:highlight w:val="none"/>
        </w:rPr>
      </w:pPr>
      <w:r>
        <w:rPr>
          <w:rFonts w:ascii="Times New Roman" w:eastAsia="方正仿宋_GBK" w:cs="Times New Roman" w:hAnsi="Times New Roman"/>
          <w:sz w:val="32"/>
          <w:szCs w:val="32"/>
          <w:lang w:val="en-US" w:eastAsia="zh-CN"/>
          <w:highlight w:val="none"/>
        </w:rPr>
        <w:t>系统应具备业务人员可配置的应用构建和调整能力，支持通过可视化方式完成表单、流程、报表等业务应用的快速搭建。</w:t>
      </w:r>
    </w:p>
    <w:p>
      <w:pPr>
        <w:pageBreakBefore w:val="0"/>
        <w:widowControl w:val="0"/>
        <w:kinsoku/>
        <w:wordWrap/>
        <w:overflowPunct/>
        <w:topLinePunct w:val="0"/>
        <w:autoSpaceDE/>
        <w:autoSpaceDN/>
        <w:bidi w:val="0"/>
        <w:snapToGrid/>
        <w:spacing w:line="600" w:lineRule="exact"/>
        <w:ind w:firstLineChars="200" w:firstLine="640"/>
        <w:jc w:val="left"/>
        <w:textAlignment w:val="auto"/>
        <w:rPr>
          <w:rFonts w:ascii="Times New Roman" w:eastAsia="方正仿宋_GBK" w:cs="Times New Roman" w:hAnsi="Times New Roman"/>
          <w:sz w:val="32"/>
          <w:szCs w:val="32"/>
          <w:lang w:val="en-US" w:eastAsia="zh-CN"/>
          <w:highlight w:val="none"/>
        </w:rPr>
      </w:pPr>
      <w:r>
        <w:rPr>
          <w:rFonts w:ascii="Times New Roman" w:eastAsia="方正仿宋_GBK" w:cs="Times New Roman" w:hAnsi="Times New Roman"/>
          <w:sz w:val="32"/>
          <w:szCs w:val="32"/>
          <w:lang w:val="en-US" w:eastAsia="zh-CN"/>
          <w:highlight w:val="none"/>
        </w:rPr>
        <w:t>系统应包含灵活、高效、可视化的流程管理能力，支持图形化配置流程节点、分支条件、审批路径，支持动态流程调整、流程跳转、加签减签、委托代理，支持流程实例跟踪、节点耗时分析、瓶颈识别等监控能力，及时发现和处理异常情况。</w:t>
      </w:r>
    </w:p>
    <w:p>
      <w:pPr>
        <w:pageBreakBefore w:val="0"/>
        <w:widowControl w:val="0"/>
        <w:kinsoku/>
        <w:wordWrap/>
        <w:overflowPunct/>
        <w:topLinePunct w:val="0"/>
        <w:autoSpaceDE/>
        <w:autoSpaceDN/>
        <w:bidi w:val="0"/>
        <w:snapToGrid/>
        <w:spacing w:line="600" w:lineRule="exact"/>
        <w:ind w:firstLineChars="200" w:firstLine="640"/>
        <w:jc w:val="left"/>
        <w:textAlignment w:val="auto"/>
        <w:rPr>
          <w:rFonts w:ascii="Times New Roman" w:eastAsia="方正仿宋_GBK" w:cs="Times New Roman" w:hAnsi="Times New Roman"/>
          <w:sz w:val="32"/>
          <w:szCs w:val="32"/>
          <w:lang w:val="en-US" w:eastAsia="zh-CN"/>
          <w:highlight w:val="none"/>
        </w:rPr>
      </w:pPr>
      <w:r>
        <w:rPr>
          <w:rFonts w:ascii="Times New Roman" w:eastAsia="方正仿宋_GBK" w:cs="Times New Roman" w:hAnsi="Times New Roman"/>
          <w:sz w:val="32"/>
          <w:szCs w:val="32"/>
          <w:lang w:val="en-US" w:eastAsia="zh-CN"/>
          <w:highlight w:val="none"/>
        </w:rPr>
        <w:t>系统应支持高可用部署和弹性伸缩，具备容器化部署与编排能力，支持分布式消息集群、数据库集群、缓存集群等，支持集群网络隔离、访问控制、监控告警，并提供完善的技术文档，包括技术定位、实现机制、具体应用等。系统须提供最新稳定版本。</w:t>
      </w:r>
    </w:p>
    <w:p>
      <w:pPr>
        <w:pageBreakBefore w:val="0"/>
        <w:widowControl w:val="0"/>
        <w:kinsoku/>
        <w:wordWrap/>
        <w:overflowPunct/>
        <w:topLinePunct w:val="0"/>
        <w:autoSpaceDE/>
        <w:autoSpaceDN/>
        <w:bidi w:val="0"/>
        <w:snapToGrid/>
        <w:spacing w:line="600" w:lineRule="exact"/>
        <w:ind w:firstLineChars="200" w:firstLine="640"/>
        <w:jc w:val="left"/>
        <w:textAlignment w:val="auto"/>
        <w:rPr>
          <w:rFonts w:ascii="Times New Roman" w:eastAsia="方正仿宋_GBK" w:cs="Times New Roman" w:hAnsi="Times New Roman"/>
          <w:sz w:val="32"/>
          <w:szCs w:val="32"/>
          <w:lang w:val="en-US" w:eastAsia="zh-CN"/>
          <w:highlight w:val="none"/>
        </w:rPr>
      </w:pPr>
      <w:r>
        <w:rPr>
          <w:rFonts w:ascii="Times New Roman" w:eastAsia="方正仿宋_GBK" w:cs="Times New Roman" w:hAnsi="Times New Roman"/>
          <w:sz w:val="32"/>
          <w:szCs w:val="32"/>
          <w:lang w:val="en-US" w:eastAsia="zh-CN"/>
          <w:highlight w:val="none"/>
        </w:rPr>
        <w:t>满足国资委国产化要求，必须适配主流国产化芯片、操作系统、中间件、数据库。</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ascii="Times New Roman" w:eastAsia="方正仿宋_GBK" w:cs="Times New Roman" w:hAnsi="Times New Roman"/>
          <w:kern w:val="2"/>
          <w:sz w:val="32"/>
          <w:szCs w:val="32"/>
          <w:lang w:val="en-US" w:eastAsia="zh-CN" w:bidi="ar-SA"/>
          <w:highlight w:val="none"/>
        </w:rPr>
      </w:pPr>
      <w:r>
        <w:rPr>
          <w:rFonts w:ascii="Times New Roman" w:eastAsia="方正黑体_GBK" w:cs="Times New Roman" w:hAnsi="Times New Roman"/>
          <w:sz w:val="28"/>
          <w:szCs w:val="28"/>
          <w:lang w:eastAsia="zh-CN"/>
        </w:rPr>
        <w:t>表</w:t>
      </w:r>
      <w:r>
        <w:rPr>
          <w:rFonts w:ascii="Times New Roman" w:eastAsia="方正黑体_GBK" w:cs="Times New Roman" w:hAnsi="Times New Roman"/>
          <w:sz w:val="28"/>
          <w:szCs w:val="28"/>
          <w:lang w:val="en-US" w:eastAsia="zh-CN"/>
        </w:rPr>
        <w:t>2  系统技术要求</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76"/>
        <w:gridCol w:w="7470"/>
      </w:tblGrid>
      <w:tr>
        <w:tc>
          <w:tcPr>
            <w:tcW w:w="1276" w:type="dxa"/>
            <w:tcBorders>
              <w:tl2br w:val="nil"/>
              <w:tr2bl w:val="nil"/>
            </w:tcBorders>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条目</w:t>
            </w:r>
          </w:p>
        </w:tc>
        <w:tc>
          <w:tcPr>
            <w:tcW w:w="7470" w:type="dxa"/>
            <w:tcBorders>
              <w:tl2br w:val="nil"/>
              <w:tr2bl w:val="nil"/>
            </w:tcBorders>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要求</w:t>
            </w:r>
          </w:p>
        </w:tc>
      </w:tr>
      <w:tr>
        <w:tc>
          <w:tcPr>
            <w:tcW w:w="1276" w:type="dxa"/>
            <w:tcBorders>
              <w:tl2br w:val="nil"/>
              <w:tr2bl w:val="nil"/>
            </w:tcBorders>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代码开发能力</w:t>
            </w:r>
          </w:p>
        </w:tc>
        <w:tc>
          <w:tcPr>
            <w:tcW w:w="7470" w:type="dxa"/>
            <w:tcBorders>
              <w:tl2br w:val="nil"/>
              <w:tr2bl w:val="nil"/>
            </w:tcBorders>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lang w:val="en-US" w:eastAsia="zh-CN"/>
                <w:highlight w:val="none"/>
              </w:rPr>
              <w:t>1.</w:t>
            </w:r>
            <w:r>
              <w:rPr>
                <w:rFonts w:ascii="Times New Roman" w:eastAsia="方正仿宋_GBK" w:cs="Times New Roman" w:hAnsi="Times New Roman"/>
                <w:sz w:val="24"/>
                <w:szCs w:val="24"/>
                <w:highlight w:val="none"/>
              </w:rPr>
              <w:t>应支持提供开发平台，支持基于云端Web浏览器进行开发操作。通过拖拽式的设计、属性和事件的灵活配置，遵循动态领域建模思想，基于元数据建模，可以轻松构建基于微服务架构的自定义应用。</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lang w:val="en-US" w:eastAsia="zh-CN"/>
                <w:highlight w:val="none"/>
              </w:rPr>
              <w:t>2.</w:t>
            </w:r>
            <w:r>
              <w:rPr>
                <w:rFonts w:ascii="Times New Roman" w:eastAsia="方正仿宋_GBK" w:cs="Times New Roman" w:hAnsi="Times New Roman"/>
                <w:sz w:val="24"/>
                <w:szCs w:val="24"/>
                <w:highlight w:val="none"/>
              </w:rPr>
              <w:t>针对需要依赖代码扩展复杂业务逻辑的场景，能够提供云端浏览器插件式开发环境进行扩展开发，也能够提供线下基于SDK方式进行扩展开发。</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3</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需要提供微服务组件、开发服务、运行服务、服务管理、API服务框架、应用建模、云支撑服务与运维服务等组件和服务。</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4</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需要实现数据模型、报表模型、表单模型及流程模型等四大类模型的动态建模工作</w:t>
            </w:r>
          </w:p>
        </w:tc>
      </w:tr>
      <w:tr>
        <w:tc>
          <w:tcPr>
            <w:tcW w:w="1276" w:type="dxa"/>
            <w:tcBorders>
              <w:tl2br w:val="nil"/>
              <w:tr2bl w:val="nil"/>
            </w:tcBorders>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流程服务能力</w:t>
            </w:r>
          </w:p>
        </w:tc>
        <w:tc>
          <w:tcPr>
            <w:tcW w:w="7470" w:type="dxa"/>
            <w:tcBorders>
              <w:tl2br w:val="nil"/>
              <w:tr2bl w:val="nil"/>
            </w:tcBorders>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left="0"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lang w:val="en-US" w:eastAsia="zh-CN"/>
                <w:highlight w:val="none"/>
              </w:rPr>
              <w:t>1.</w:t>
            </w:r>
            <w:r>
              <w:rPr>
                <w:rFonts w:ascii="Times New Roman" w:eastAsia="方正仿宋_GBK" w:cs="Times New Roman" w:hAnsi="Times New Roman"/>
                <w:sz w:val="24"/>
                <w:szCs w:val="24"/>
                <w:highlight w:val="none"/>
              </w:rPr>
              <w:t>应支持提供基于Web浏览器的流程设计建模工具，支持插件方式。自定义流程模型、业务规则和流程属性等，便于复杂业务场景的适配和业务规则的扩展支撑。</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2</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平台应支持开放性，有可配置的开放能力，实现与异构系统的审批流集成。</w:t>
            </w:r>
          </w:p>
        </w:tc>
      </w:tr>
      <w:tr>
        <w:tc>
          <w:tcPr>
            <w:tcW w:w="1276" w:type="dxa"/>
            <w:tcBorders>
              <w:tl2br w:val="nil"/>
              <w:tr2bl w:val="nil"/>
            </w:tcBorders>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智能组件能力</w:t>
            </w:r>
          </w:p>
        </w:tc>
        <w:tc>
          <w:tcPr>
            <w:tcW w:w="7470" w:type="dxa"/>
            <w:tcBorders>
              <w:tl2br w:val="nil"/>
              <w:tr2bl w:val="nil"/>
            </w:tcBorders>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平台应包含以下组件能力：</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1</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应支持其他异构业务系统对接。</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应支持组件化部署、也支持单独部署。</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应支持7*24小时任务执行，过程应支持监控和记录，满足审计合规要求。</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应支持文本化自动识别机制。</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2</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文字识别（OCR）、文本检测、NLP文本抽取等AI能力</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提供开箱即用的预置文字识别服务、自定义模板的文字识别服务以及文档差异比对的能力。</w:t>
            </w:r>
          </w:p>
        </w:tc>
      </w:tr>
    </w:tbl>
    <w:p>
      <w:pPr>
        <w:pStyle w:val="24"/>
        <w:pageBreakBefore w:val="0"/>
        <w:widowControl w:val="0"/>
        <w:kinsoku/>
        <w:wordWrap/>
        <w:overflowPunct/>
        <w:topLinePunct w:val="0"/>
        <w:autoSpaceDE/>
        <w:autoSpaceDN/>
        <w:bidi w:val="0"/>
        <w:snapToGrid/>
        <w:spacing w:before="0" w:after="0" w:line="600" w:lineRule="exact"/>
        <w:ind w:left="0" w:firstLineChars="200" w:firstLine="640"/>
        <w:jc w:val="left"/>
        <w:textAlignment w:val="auto"/>
        <w:rPr>
          <w:rFonts w:ascii="Times New Roman" w:cs="Times New Roman" w:hAnsi="Times New Roman"/>
          <w:sz w:val="32"/>
          <w:szCs w:val="32"/>
        </w:rPr>
      </w:pPr>
      <w:r>
        <w:rPr>
          <w:rFonts w:ascii="Times New Roman" w:eastAsia="方正仿宋_GBK" w:cs="Times New Roman" w:hAnsi="Times New Roman"/>
          <w:sz w:val="32"/>
          <w:szCs w:val="32"/>
          <w:lang w:eastAsia="zh-CN"/>
        </w:rPr>
        <w:t>系统</w:t>
      </w:r>
      <w:r>
        <w:rPr>
          <w:rFonts w:ascii="Times New Roman" w:eastAsia="方正仿宋_GBK" w:cs="Times New Roman" w:hAnsi="Times New Roman"/>
          <w:sz w:val="32"/>
          <w:szCs w:val="32"/>
        </w:rPr>
        <w:t>须满足国家信息安全等级保护二级（等保二级）要求，建立健全安全管理制度和防护体系。支持数据加密传输与存储、访问控制与身份认证、安全审计与日志管理、入侵检测与安全预警等功能，确保系统运行过程中数据的机密性、完整性和可用性，通过等保二级评测并持续保持合规。</w:t>
      </w:r>
    </w:p>
    <w:p>
      <w:pPr>
        <w:pStyle w:val="20"/>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cs="Times New Roman" w:hAnsi="Times New Roman"/>
          <w:lang w:val="en-US" w:eastAsia="zh-CN"/>
        </w:rPr>
      </w:pPr>
      <w:r>
        <w:rPr>
          <w:rFonts w:ascii="Times New Roman" w:eastAsia="方正黑体_GBK" w:cs="Times New Roman" w:hAnsi="Times New Roman"/>
          <w:sz w:val="28"/>
          <w:szCs w:val="28"/>
          <w:lang w:eastAsia="zh-CN"/>
        </w:rPr>
        <w:t>表</w:t>
      </w:r>
      <w:r>
        <w:rPr>
          <w:rFonts w:ascii="Times New Roman" w:eastAsia="方正黑体_GBK" w:cs="Times New Roman" w:hAnsi="Times New Roman"/>
          <w:sz w:val="28"/>
          <w:szCs w:val="28"/>
          <w:lang w:val="en-US" w:eastAsia="zh-CN"/>
        </w:rPr>
        <w:t>3  系统安全要求</w:t>
      </w:r>
    </w:p>
    <w:tbl>
      <w:tblPr>
        <w:jc w:val="center"/>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151"/>
        <w:gridCol w:w="7569"/>
      </w:tblGrid>
      <w:tr>
        <w:trPr>
          <w:trHeight w:val="367"/>
        </w:trPr>
        <w:tc>
          <w:tcPr>
            <w:tcW w:w="660"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条目</w:t>
            </w:r>
          </w:p>
        </w:tc>
        <w:tc>
          <w:tcPr>
            <w:tcW w:w="4340"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要求</w:t>
            </w:r>
          </w:p>
        </w:tc>
      </w:tr>
      <w:tr>
        <w:trPr>
          <w:trHeight w:val="1194"/>
        </w:trPr>
        <w:tc>
          <w:tcPr>
            <w:tcW w:w="660"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数据备份与恢复</w:t>
            </w:r>
          </w:p>
        </w:tc>
        <w:tc>
          <w:tcPr>
            <w:tcW w:w="4340"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1</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 xml:space="preserve">应支持数据库导入、导出、修复、热机实时备份等功能，即使在服务器突然掉电或中止运行的情况下，也能确保系统数据不会受到破坏。                  </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2</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 xml:space="preserve">需要有防攻击、防病毒、防篡改等技术保障机制。           </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3</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数据存储应有相应的管理和存储策略，保证软件系统的正常运行，及数据快熟恢复。</w:t>
            </w:r>
          </w:p>
        </w:tc>
      </w:tr>
      <w:tr>
        <w:trPr>
          <w:trHeight w:val="1602"/>
        </w:trPr>
        <w:tc>
          <w:tcPr>
            <w:tcW w:w="660"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安全及监控</w:t>
            </w:r>
          </w:p>
        </w:tc>
        <w:tc>
          <w:tcPr>
            <w:tcW w:w="4340"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1</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 xml:space="preserve">应有丰富的安全加密、认证、保密措施，确保系统安全无风险运行。  </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2</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 xml:space="preserve">用户登陆时，应支持加密锁、CA认证、数字证书、登陆日志、动态密码卡等多种安全登陆认证机制。 </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3</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 xml:space="preserve">系统应提供详细的审计功能，审计人员能即时审计安全操作日志。 </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4</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需要支持数据加密传输功能。</w:t>
            </w:r>
          </w:p>
        </w:tc>
      </w:tr>
    </w:tbl>
    <w:p>
      <w:pPr>
        <w:pStyle w:val="20"/>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cs="Times New Roman" w:hAnsi="Times New Roman"/>
          <w:lang w:val="en-US" w:eastAsia="zh-CN"/>
        </w:rPr>
      </w:pPr>
      <w:r>
        <w:rPr>
          <w:rFonts w:ascii="Times New Roman" w:eastAsia="方正黑体_GBK" w:cs="Times New Roman" w:hAnsi="Times New Roman"/>
          <w:sz w:val="28"/>
          <w:szCs w:val="28"/>
          <w:lang w:eastAsia="zh-CN"/>
        </w:rPr>
        <w:t>表</w:t>
      </w:r>
      <w:r>
        <w:rPr>
          <w:rFonts w:ascii="Times New Roman" w:eastAsia="方正黑体_GBK" w:cs="Times New Roman" w:hAnsi="Times New Roman"/>
          <w:sz w:val="28"/>
          <w:szCs w:val="28"/>
          <w:lang w:val="en-US" w:eastAsia="zh-CN"/>
        </w:rPr>
        <w:t>4  其他技术要求</w:t>
      </w:r>
    </w:p>
    <w:tbl>
      <w:tblPr>
        <w:jc w:val="center"/>
        <w:tblW w:w="47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158"/>
        <w:gridCol w:w="7549"/>
      </w:tblGrid>
      <w:tr>
        <w:trPr>
          <w:trHeight w:val="363"/>
        </w:trPr>
        <w:tc>
          <w:tcPr>
            <w:tcW w:w="66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条目</w:t>
            </w:r>
          </w:p>
        </w:tc>
        <w:tc>
          <w:tcPr>
            <w:tcW w:w="433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要求</w:t>
            </w:r>
          </w:p>
        </w:tc>
      </w:tr>
      <w:tr>
        <w:trPr>
          <w:trHeight w:val="743"/>
        </w:trPr>
        <w:tc>
          <w:tcPr>
            <w:tcW w:w="66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登陆方式</w:t>
            </w:r>
          </w:p>
        </w:tc>
        <w:tc>
          <w:tcPr>
            <w:tcW w:w="433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软件系统需要采用B/S或混合架构，支持加密授权登录、单点登录集成等。</w:t>
            </w:r>
          </w:p>
        </w:tc>
      </w:tr>
      <w:tr>
        <w:trPr>
          <w:trHeight w:val="90"/>
        </w:trPr>
        <w:tc>
          <w:tcPr>
            <w:tcW w:w="66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软件兼容及国产化适配</w:t>
            </w:r>
          </w:p>
        </w:tc>
        <w:tc>
          <w:tcPr>
            <w:tcW w:w="433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1</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需要支持达梦数据库、人大金仓、华为高斯等国产企业级数据仓库兼容适配。</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2</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需支持麒麟、统信等不同国产操作系统上进行部署。</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3</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需支持与东方通、金蝶天燕等主流国产中间件兼容适配。</w:t>
            </w:r>
          </w:p>
        </w:tc>
      </w:tr>
      <w:tr>
        <w:trPr>
          <w:trHeight w:val="1921"/>
        </w:trPr>
        <w:tc>
          <w:tcPr>
            <w:tcW w:w="66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组织架构</w:t>
            </w:r>
          </w:p>
        </w:tc>
        <w:tc>
          <w:tcPr>
            <w:tcW w:w="433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1</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系统组织架构需满足集团化管理要求，能支持复杂的集团化管理模式。</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2</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能够灵活设置分支机构、部门、人员、角色。支持辅助部门、辅助角色管理，支持自定义公共用户组，个人自定义组等功能。能够根据角色灵活定义权限，能够设置分支机构人员之间的可见性。</w:t>
            </w:r>
          </w:p>
        </w:tc>
      </w:tr>
      <w:tr>
        <w:trPr>
          <w:trHeight w:val="879"/>
        </w:trPr>
        <w:tc>
          <w:tcPr>
            <w:tcW w:w="66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易用性要求</w:t>
            </w:r>
          </w:p>
        </w:tc>
        <w:tc>
          <w:tcPr>
            <w:tcW w:w="433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1</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系统交互功能设计需合理，支持个性化自定义设置，且支持多端适配（如：PC、手机、平板、手持终端、大屏等）。</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2</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提供联机帮助说明文档或系统操作的电子文档说明书，方便用户使用过程中在系统内在线查询，并能根据用户需求，系统帮助相关功能应可提供软件操作的视频培训资料。</w:t>
            </w:r>
          </w:p>
        </w:tc>
      </w:tr>
      <w:tr>
        <w:trPr>
          <w:trHeight w:val="987"/>
        </w:trPr>
        <w:tc>
          <w:tcPr>
            <w:tcW w:w="66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稳定性与运行速度</w:t>
            </w:r>
          </w:p>
        </w:tc>
        <w:tc>
          <w:tcPr>
            <w:tcW w:w="433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1</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需支持集群化部署，具备故障转移、负载均衡、自动伸缩、自动重启等能力。</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2</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系统可用性不低于99.9%。</w:t>
            </w:r>
          </w:p>
        </w:tc>
      </w:tr>
      <w:tr>
        <w:trPr>
          <w:trHeight w:val="1390"/>
        </w:trPr>
        <w:tc>
          <w:tcPr>
            <w:tcW w:w="66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软件系统开放性</w:t>
            </w:r>
          </w:p>
        </w:tc>
        <w:tc>
          <w:tcPr>
            <w:tcW w:w="4335" w:type="pct"/>
            <w:tcBorders>
              <w:tl2br w:val="nil"/>
              <w:tr2bl w:val="nil"/>
            </w:tcBorders>
            <w:shd w:val="clear" w:color="000000" w:fill="auto"/>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1</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需具备API管理、服务管理、消息总线、服务集成、数据集成、文件传输、事件驱动等功能，且支持可视化配置。</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2</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需具备身份验证、安全管理等多种安全特性，可以保障企业集成的安全性和稳定性。</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3</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至少支持HTTP/HTTPS、RESTful、消息队列协议。</w:t>
            </w:r>
          </w:p>
        </w:tc>
      </w:tr>
      <w:tr>
        <w:trPr>
          <w:trHeight w:val="363"/>
        </w:trPr>
        <w:tc>
          <w:tcPr>
            <w:tcW w:w="66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snapToGrid w:val="0"/>
                <w:kern w:val="2"/>
                <w:sz w:val="24"/>
                <w:szCs w:val="24"/>
                <w:lang w:val="en-US" w:eastAsia="zh-CN" w:bidi="ar-SA"/>
                <w:highlight w:val="none"/>
              </w:rPr>
              <w:t>技术售后保障</w:t>
            </w:r>
          </w:p>
        </w:tc>
        <w:tc>
          <w:tcPr>
            <w:tcW w:w="4335" w:type="pct"/>
            <w:tcBorders>
              <w:tl2br w:val="nil"/>
              <w:tr2bl w:val="nil"/>
            </w:tcBorders>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投标方需承诺：提供系统原厂商产品授权及售后服务保障。</w:t>
            </w:r>
          </w:p>
        </w:tc>
      </w:tr>
      <w:tr>
        <w:trPr>
          <w:trHeight w:val="363"/>
        </w:trPr>
        <w:tc>
          <w:tcPr>
            <w:tcW w:w="665" w:type="pct"/>
            <w:tcBorders>
              <w:tl2br w:val="nil"/>
              <w:tr2bl w:val="nil"/>
            </w:tcBorders>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b/>
                <w:bCs/>
                <w:kern w:val="0"/>
                <w:sz w:val="24"/>
                <w:szCs w:val="24"/>
                <w:highlight w:val="none"/>
              </w:rPr>
            </w:pPr>
            <w:r>
              <w:rPr>
                <w:rFonts w:ascii="Times New Roman" w:eastAsia="方正仿宋_GBK" w:cs="Times New Roman" w:hAnsi="Times New Roman"/>
                <w:sz w:val="24"/>
                <w:szCs w:val="24"/>
                <w:highlight w:val="none"/>
              </w:rPr>
              <w:t>故障响应及解决</w:t>
            </w:r>
          </w:p>
        </w:tc>
        <w:tc>
          <w:tcPr>
            <w:tcW w:w="4335" w:type="pct"/>
            <w:tcBorders>
              <w:tl2br w:val="nil"/>
              <w:tr2bl w:val="nil"/>
            </w:tcBorders>
            <w:vAlign w:val="center"/>
          </w:tcPr>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应满足以下标准：</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1</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严重故障：服务标准：半小时内响应， 2小时内解决。</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2</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高级故障：服务标准：1小时内响应， 6小时内解决。</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3</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中级故障：服务标准：3小时内响应，24小时内解决。</w:t>
            </w:r>
          </w:p>
          <w:p>
            <w:pPr>
              <w:pStyle w:val="53"/>
              <w:keepNext w:val="0"/>
              <w:keepLines w:val="0"/>
              <w:pageBreakBefore w:val="0"/>
              <w:widowControl w:val="0"/>
              <w:kinsoku/>
              <w:wordWrap/>
              <w:overflowPunct/>
              <w:topLinePunct w:val="0"/>
              <w:autoSpaceDE/>
              <w:autoSpaceDN/>
              <w:bidi w:val="0"/>
              <w:adjustRightInd/>
              <w:snapToGrid/>
              <w:spacing w:line="360" w:lineRule="exact"/>
              <w:ind w:firstLine="0"/>
              <w:textAlignment w:val="auto"/>
              <w:rPr>
                <w:rFonts w:ascii="Times New Roman" w:eastAsia="方正仿宋_GBK" w:cs="Times New Roman" w:hAnsi="Times New Roman"/>
                <w:sz w:val="24"/>
                <w:szCs w:val="24"/>
                <w:highlight w:val="none"/>
              </w:rPr>
            </w:pPr>
            <w:r>
              <w:rPr>
                <w:rFonts w:ascii="Times New Roman" w:eastAsia="方正仿宋_GBK" w:cs="Times New Roman" w:hAnsi="Times New Roman"/>
                <w:sz w:val="24"/>
                <w:szCs w:val="24"/>
                <w:highlight w:val="none"/>
              </w:rPr>
              <w:t>4</w:t>
            </w:r>
            <w:r>
              <w:rPr>
                <w:rFonts w:ascii="Times New Roman" w:eastAsia="方正仿宋_GBK" w:cs="Times New Roman" w:hAnsi="Times New Roman"/>
                <w:sz w:val="24"/>
                <w:szCs w:val="24"/>
                <w:lang w:val="en-US" w:eastAsia="zh-CN"/>
                <w:highlight w:val="none"/>
              </w:rPr>
              <w:t>.</w:t>
            </w:r>
            <w:r>
              <w:rPr>
                <w:rFonts w:ascii="Times New Roman" w:eastAsia="方正仿宋_GBK" w:cs="Times New Roman" w:hAnsi="Times New Roman"/>
                <w:sz w:val="24"/>
                <w:szCs w:val="24"/>
                <w:highlight w:val="none"/>
              </w:rPr>
              <w:t>低级故障：服务标准：12小时内响应，48小时内解决。</w:t>
            </w:r>
          </w:p>
        </w:tc>
      </w:tr>
    </w:tbl>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黑体_GBK" w:cs="Times New Roman" w:hAnsi="Times New Roman"/>
          <w:b w:val="0"/>
          <w:bCs/>
          <w:sz w:val="32"/>
          <w:szCs w:val="32"/>
          <w:lang w:val="en-US" w:eastAsia="zh-CN"/>
        </w:rPr>
      </w:pPr>
      <w:r>
        <w:rPr>
          <w:rFonts w:ascii="Times New Roman" w:eastAsia="方正黑体_GBK" w:cs="Times New Roman" w:hAnsi="Times New Roman"/>
          <w:b w:val="0"/>
          <w:bCs/>
          <w:sz w:val="32"/>
          <w:szCs w:val="32"/>
          <w:lang w:val="en-US" w:eastAsia="zh-CN"/>
        </w:rPr>
        <w:t>十一、项目总体价值</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本方案的核心价值在于通过集团统一建设供应链业财一体化</w:t>
      </w:r>
      <w:r>
        <w:rPr>
          <w:rFonts w:ascii="Times New Roman" w:eastAsia="方正仿宋_GBK" w:cs="Times New Roman" w:hAnsi="Times New Roman"/>
          <w:sz w:val="32"/>
          <w:szCs w:val="32"/>
          <w:lang w:eastAsia="zh-CN"/>
        </w:rPr>
        <w:t>系统</w:t>
      </w:r>
      <w:r>
        <w:rPr>
          <w:rFonts w:ascii="Times New Roman" w:eastAsia="方正仿宋_GBK" w:cs="Times New Roman" w:hAnsi="Times New Roman"/>
          <w:sz w:val="32"/>
          <w:szCs w:val="32"/>
        </w:rPr>
        <w:t>，系统性解决</w:t>
      </w:r>
      <w:r>
        <w:rPr>
          <w:rFonts w:ascii="Times New Roman" w:eastAsia="方正仿宋_GBK" w:cs="Times New Roman" w:hAnsi="Times New Roman"/>
          <w:sz w:val="32"/>
          <w:szCs w:val="32"/>
          <w:lang w:eastAsia="zh-CN"/>
        </w:rPr>
        <w:t>所属</w:t>
      </w:r>
      <w:r>
        <w:rPr>
          <w:rFonts w:ascii="Times New Roman" w:eastAsia="方正仿宋_GBK" w:cs="Times New Roman" w:hAnsi="Times New Roman"/>
          <w:sz w:val="32"/>
          <w:szCs w:val="32"/>
        </w:rPr>
        <w:t>企业供应链信息化短板，实现以下目标：</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outlineLvl w:val="1"/>
        <w:rPr>
          <w:rFonts w:ascii="Times New Roman" w:eastAsia="方正楷体_GBK" w:cs="Times New Roman" w:hAnsi="Times New Roman"/>
          <w:b w:val="0"/>
          <w:bCs w:val="0"/>
          <w:sz w:val="32"/>
          <w:szCs w:val="32"/>
          <w:lang w:eastAsia="zh-CN"/>
        </w:rPr>
      </w:pPr>
      <w:r>
        <w:rPr>
          <w:rFonts w:ascii="Times New Roman" w:eastAsia="方正楷体_GBK" w:cs="Times New Roman" w:hAnsi="Times New Roman"/>
          <w:b w:val="0"/>
          <w:bCs w:val="0"/>
          <w:sz w:val="32"/>
          <w:szCs w:val="32"/>
          <w:lang w:eastAsia="zh-CN"/>
        </w:rPr>
        <w:t>（</w:t>
      </w:r>
      <w:r>
        <w:rPr>
          <w:rFonts w:ascii="Times New Roman" w:eastAsia="方正楷体_GBK" w:cs="Times New Roman" w:hAnsi="Times New Roman"/>
          <w:b w:val="0"/>
          <w:bCs w:val="0"/>
          <w:sz w:val="32"/>
          <w:szCs w:val="32"/>
          <w:lang w:eastAsia="zh-CN"/>
        </w:rPr>
        <w:t>一</w:t>
      </w:r>
      <w:r>
        <w:rPr>
          <w:rFonts w:ascii="Times New Roman" w:eastAsia="方正楷体_GBK" w:cs="Times New Roman" w:hAnsi="Times New Roman"/>
          <w:b w:val="0"/>
          <w:bCs w:val="0"/>
          <w:sz w:val="32"/>
          <w:szCs w:val="32"/>
          <w:lang w:eastAsia="zh-CN"/>
        </w:rPr>
        <w:t>）补齐企业的供应链数字化短板</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大部分企业供应链信息化薄弱或完全空白，无法满足集团统一管理和企业自身业务线上化的双重需求。通过统一</w:t>
      </w:r>
      <w:r>
        <w:rPr>
          <w:rFonts w:ascii="Times New Roman" w:eastAsia="方正仿宋_GBK" w:cs="Times New Roman" w:hAnsi="Times New Roman"/>
          <w:sz w:val="32"/>
          <w:szCs w:val="32"/>
          <w:lang w:eastAsia="zh-CN"/>
        </w:rPr>
        <w:t>系统</w:t>
      </w:r>
      <w:r>
        <w:rPr>
          <w:rFonts w:ascii="Times New Roman" w:eastAsia="方正仿宋_GBK" w:cs="Times New Roman" w:hAnsi="Times New Roman"/>
          <w:sz w:val="32"/>
          <w:szCs w:val="32"/>
        </w:rPr>
        <w:t>一次性补齐采购、销售、库存、财务核算全链条信息化能力，避免各自分散建设带来的标准不一、重复投资和后期整合难题。</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outlineLvl w:val="1"/>
        <w:rPr>
          <w:rFonts w:ascii="Times New Roman" w:eastAsia="方正楷体_GBK" w:cs="Times New Roman" w:hAnsi="Times New Roman"/>
          <w:b w:val="0"/>
          <w:bCs w:val="0"/>
          <w:sz w:val="32"/>
          <w:szCs w:val="32"/>
        </w:rPr>
      </w:pPr>
      <w:r>
        <w:rPr>
          <w:rFonts w:ascii="Times New Roman" w:eastAsia="方正楷体_GBK" w:cs="Times New Roman" w:hAnsi="Times New Roman"/>
          <w:b w:val="0"/>
          <w:bCs w:val="0"/>
          <w:sz w:val="32"/>
          <w:szCs w:val="32"/>
          <w:lang w:eastAsia="zh-CN"/>
        </w:rPr>
        <w:t>（</w:t>
      </w:r>
      <w:r>
        <w:rPr>
          <w:rFonts w:ascii="Times New Roman" w:eastAsia="方正楷体_GBK" w:cs="Times New Roman" w:hAnsi="Times New Roman"/>
          <w:b w:val="0"/>
          <w:bCs w:val="0"/>
          <w:sz w:val="32"/>
          <w:szCs w:val="32"/>
          <w:lang w:eastAsia="zh-CN"/>
        </w:rPr>
        <w:t>二</w:t>
      </w:r>
      <w:r>
        <w:rPr>
          <w:rFonts w:ascii="Times New Roman" w:eastAsia="方正楷体_GBK" w:cs="Times New Roman" w:hAnsi="Times New Roman"/>
          <w:b w:val="0"/>
          <w:bCs w:val="0"/>
          <w:sz w:val="32"/>
          <w:szCs w:val="32"/>
          <w:lang w:eastAsia="zh-CN"/>
        </w:rPr>
        <w:t>）</w:t>
      </w:r>
      <w:r>
        <w:rPr>
          <w:rFonts w:ascii="Times New Roman" w:eastAsia="方正楷体_GBK" w:cs="Times New Roman" w:hAnsi="Times New Roman"/>
          <w:b w:val="0"/>
          <w:bCs w:val="0"/>
          <w:sz w:val="32"/>
          <w:szCs w:val="32"/>
        </w:rPr>
        <w:t>打通业财壁垒，实现穿透式管理</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当前集团财务核算系统（浪潮）与各企业供应链业务系统之间缺乏有效衔接，仅能获取财务结果数据而无法追溯业务过程。统一建设后，统建供应链业财一体化系统与集团浪潮财务系统实现凭证级集成，集团及企业管理层可从财务凭证一路穿透到采购订单、入库单、销售出库单等业务明细，实现“业财一体、全程可溯”的管控目标。</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outlineLvl w:val="1"/>
        <w:rPr>
          <w:rFonts w:ascii="Times New Roman" w:eastAsia="方正楷体_GBK" w:cs="Times New Roman" w:hAnsi="Times New Roman"/>
          <w:b w:val="0"/>
          <w:bCs w:val="0"/>
          <w:sz w:val="32"/>
          <w:szCs w:val="32"/>
          <w:lang w:eastAsia="zh-CN"/>
        </w:rPr>
      </w:pPr>
      <w:r>
        <w:rPr>
          <w:rFonts w:ascii="Times New Roman" w:eastAsia="方正楷体_GBK" w:cs="Times New Roman" w:hAnsi="Times New Roman"/>
          <w:b w:val="0"/>
          <w:bCs w:val="0"/>
          <w:sz w:val="32"/>
          <w:szCs w:val="32"/>
          <w:lang w:eastAsia="zh-CN"/>
        </w:rPr>
        <w:t>（</w:t>
      </w:r>
      <w:r>
        <w:rPr>
          <w:rFonts w:ascii="Times New Roman" w:eastAsia="方正楷体_GBK" w:cs="Times New Roman" w:hAnsi="Times New Roman"/>
          <w:b w:val="0"/>
          <w:bCs w:val="0"/>
          <w:sz w:val="32"/>
          <w:szCs w:val="32"/>
          <w:lang w:val="en-US" w:eastAsia="zh-CN"/>
        </w:rPr>
        <w:t>三</w:t>
      </w:r>
      <w:r>
        <w:rPr>
          <w:rFonts w:ascii="Times New Roman" w:eastAsia="方正楷体_GBK" w:cs="Times New Roman" w:hAnsi="Times New Roman"/>
          <w:b w:val="0"/>
          <w:bCs w:val="0"/>
          <w:sz w:val="32"/>
          <w:szCs w:val="32"/>
          <w:lang w:eastAsia="zh-CN"/>
        </w:rPr>
        <w:t>）集约化建设，降低总体拥有成本</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集团统一建设而非各企业分散建设，可显著降低总体成本：硬件及基础设施资源集约化，避免重复投入</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 xml:space="preserve">系统升级、补丁、安全防护统一管理，降低运维成本 </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实施经验可复用，降低单家企业实施周期和风险</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集团统一与浪潮、司库、银企直联等现有系统对接，避免各企业分别开发接口</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outlineLvl w:val="1"/>
        <w:rPr>
          <w:rFonts w:ascii="Times New Roman" w:eastAsia="方正楷体_GBK" w:cs="Times New Roman" w:hAnsi="Times New Roman"/>
          <w:b w:val="0"/>
          <w:bCs w:val="0"/>
          <w:sz w:val="32"/>
          <w:szCs w:val="32"/>
          <w:lang w:eastAsia="zh-CN"/>
        </w:rPr>
      </w:pPr>
      <w:r>
        <w:rPr>
          <w:rFonts w:ascii="Times New Roman" w:eastAsia="方正楷体_GBK" w:cs="Times New Roman" w:hAnsi="Times New Roman"/>
          <w:b w:val="0"/>
          <w:bCs w:val="0"/>
          <w:sz w:val="32"/>
          <w:szCs w:val="32"/>
          <w:lang w:eastAsia="zh-CN"/>
        </w:rPr>
        <w:t>（</w:t>
      </w:r>
      <w:r>
        <w:rPr>
          <w:rFonts w:ascii="Times New Roman" w:eastAsia="方正楷体_GBK" w:cs="Times New Roman" w:hAnsi="Times New Roman"/>
          <w:b w:val="0"/>
          <w:bCs w:val="0"/>
          <w:sz w:val="32"/>
          <w:szCs w:val="32"/>
          <w:lang w:val="en-US" w:eastAsia="zh-CN"/>
        </w:rPr>
        <w:t>四</w:t>
      </w:r>
      <w:r>
        <w:rPr>
          <w:rFonts w:ascii="Times New Roman" w:eastAsia="方正楷体_GBK" w:cs="Times New Roman" w:hAnsi="Times New Roman"/>
          <w:b w:val="0"/>
          <w:bCs w:val="0"/>
          <w:sz w:val="32"/>
          <w:szCs w:val="32"/>
          <w:lang w:eastAsia="zh-CN"/>
        </w:rPr>
        <w:t>）统一主数据标准，夯实数据基础</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本次建设与集团《统一主数据治理方案》同步推进，物料主数据按照集团统一编码体系（三段式混合编码）在浪潮</w:t>
      </w:r>
      <w:r>
        <w:rPr>
          <w:rFonts w:ascii="Times New Roman" w:eastAsia="方正仿宋_GBK" w:cs="Times New Roman" w:hAnsi="Times New Roman"/>
          <w:sz w:val="32"/>
          <w:szCs w:val="32"/>
          <w:lang w:eastAsia="zh-CN"/>
        </w:rPr>
        <w:t>主数据管理平台（MDM）</w:t>
      </w:r>
      <w:r>
        <w:rPr>
          <w:rFonts w:ascii="Times New Roman" w:eastAsia="方正仿宋_GBK" w:cs="Times New Roman" w:hAnsi="Times New Roman"/>
          <w:sz w:val="32"/>
          <w:szCs w:val="32"/>
        </w:rPr>
        <w:t>中管理并分发至统建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。财务主数据（科目、客商、组织、人员）沿用集团现有标准。通过主数据统一，确保集团内数据“数出同源”，为后续数据分析、报表合并、AI应用奠定数据基础。</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outlineLvl w:val="1"/>
        <w:rPr>
          <w:rFonts w:ascii="Times New Roman" w:eastAsia="方正楷体_GBK" w:cs="Times New Roman" w:hAnsi="Times New Roman"/>
          <w:b w:val="0"/>
          <w:bCs w:val="0"/>
          <w:sz w:val="32"/>
          <w:szCs w:val="32"/>
          <w:lang w:eastAsia="zh-CN"/>
        </w:rPr>
      </w:pPr>
      <w:r>
        <w:rPr>
          <w:rFonts w:ascii="Times New Roman" w:eastAsia="方正楷体_GBK" w:cs="Times New Roman" w:hAnsi="Times New Roman"/>
          <w:b w:val="0"/>
          <w:bCs w:val="0"/>
          <w:sz w:val="32"/>
          <w:szCs w:val="32"/>
          <w:lang w:eastAsia="zh-CN"/>
        </w:rPr>
        <w:t>（</w:t>
      </w:r>
      <w:r>
        <w:rPr>
          <w:rFonts w:ascii="Times New Roman" w:eastAsia="方正楷体_GBK" w:cs="Times New Roman" w:hAnsi="Times New Roman"/>
          <w:b w:val="0"/>
          <w:bCs w:val="0"/>
          <w:sz w:val="32"/>
          <w:szCs w:val="32"/>
          <w:lang w:val="en-US" w:eastAsia="zh-CN"/>
        </w:rPr>
        <w:t>五</w:t>
      </w:r>
      <w:r>
        <w:rPr>
          <w:rFonts w:ascii="Times New Roman" w:eastAsia="方正楷体_GBK" w:cs="Times New Roman" w:hAnsi="Times New Roman"/>
          <w:b w:val="0"/>
          <w:bCs w:val="0"/>
          <w:sz w:val="32"/>
          <w:szCs w:val="32"/>
          <w:lang w:eastAsia="zh-CN"/>
        </w:rPr>
        <w:t>）为集团整体数智化转型奠定基础</w:t>
      </w:r>
    </w:p>
    <w:p>
      <w:pPr>
        <w:pStyle w:val="24"/>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统一</w:t>
      </w:r>
      <w:r>
        <w:rPr>
          <w:rFonts w:ascii="Times New Roman" w:eastAsia="方正仿宋_GBK" w:cs="Times New Roman" w:hAnsi="Times New Roman"/>
          <w:sz w:val="32"/>
          <w:szCs w:val="32"/>
          <w:lang w:eastAsia="zh-CN"/>
        </w:rPr>
        <w:t>系统</w:t>
      </w:r>
      <w:r>
        <w:rPr>
          <w:rFonts w:ascii="Times New Roman" w:eastAsia="方正仿宋_GBK" w:cs="Times New Roman" w:hAnsi="Times New Roman"/>
          <w:sz w:val="32"/>
          <w:szCs w:val="32"/>
        </w:rPr>
        <w:t>建成后，集团核心管控和业财系统从多系统、多版本收敛为高效协同的架构，系统数量减少、集成复杂度降低、数据更准确更实时。在此基础上，集团可进一步推进财务共享服务中心建设、经营驾驶舱、智能预警、数据分析、AI辅助决策等数智化应用，支撑集团从”信息化”向</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rPr>
        <w:t>数智化”的转型升级。</w:t>
      </w:r>
    </w:p>
    <w:p>
      <w:pPr>
        <w:pStyle w:val="1"/>
        <w:keepNext/>
        <w:keepLines/>
        <w:pageBreakBefore w:val="0"/>
        <w:widowControl w:val="0"/>
        <w:kinsoku/>
        <w:wordWrap/>
        <w:overflowPunct/>
        <w:topLinePunct w:val="0"/>
        <w:autoSpaceDE/>
        <w:autoSpaceDN/>
        <w:bidi w:val="0"/>
        <w:adjustRightInd/>
        <w:snapToGrid/>
        <w:spacing w:before="0" w:after="0" w:line="600" w:lineRule="exact"/>
        <w:ind w:right="0" w:firstLineChars="200" w:firstLine="640"/>
        <w:jc w:val="left"/>
        <w:textAlignment w:val="auto"/>
        <w:rPr>
          <w:rFonts w:ascii="Times New Roman" w:eastAsia="方正黑体_GBK" w:cs="Times New Roman" w:hAnsi="Times New Roman"/>
          <w:b w:val="0"/>
          <w:bCs/>
          <w:sz w:val="32"/>
          <w:szCs w:val="32"/>
        </w:rPr>
      </w:pPr>
      <w:r>
        <w:rPr>
          <w:rFonts w:ascii="Times New Roman" w:eastAsia="方正黑体_GBK" w:cs="Times New Roman" w:hAnsi="Times New Roman"/>
          <w:b w:val="0"/>
          <w:bCs/>
          <w:sz w:val="32"/>
          <w:szCs w:val="32"/>
          <w:lang w:eastAsia="zh-CN"/>
        </w:rPr>
        <w:t>十二</w:t>
      </w:r>
      <w:r>
        <w:rPr>
          <w:rFonts w:ascii="Times New Roman" w:eastAsia="方正黑体_GBK" w:cs="Times New Roman" w:hAnsi="Times New Roman"/>
          <w:b w:val="0"/>
          <w:bCs/>
          <w:sz w:val="32"/>
          <w:szCs w:val="32"/>
        </w:rPr>
        <w:t>、项目风险与应对措施</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基于本方案涉及8家企业、多个异构系统集成、紧凑的建设周期，识别以下6项主要风险并提出应对建议：</w:t>
      </w:r>
    </w:p>
    <w:p>
      <w:pPr>
        <w:pStyle w:val="2"/>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rPr>
      </w:pPr>
      <w:r>
        <w:rPr>
          <w:rFonts w:ascii="Times New Roman" w:eastAsia="方正楷体_GBK" w:cs="Times New Roman" w:hAnsi="Times New Roman"/>
          <w:b w:val="0"/>
          <w:bCs/>
          <w:i w:val="0"/>
          <w:color w:val="000000"/>
          <w:kern w:val="2"/>
          <w:sz w:val="32"/>
          <w:szCs w:val="32"/>
          <w:lang w:val="en-US" w:eastAsia="zh-CN" w:bidi="ar-SA"/>
        </w:rPr>
        <w:t>（一）</w:t>
      </w:r>
      <w:r>
        <w:rPr>
          <w:rFonts w:ascii="Times New Roman" w:eastAsia="方正楷体_GBK" w:cs="Times New Roman" w:hAnsi="Times New Roman"/>
          <w:b w:val="0"/>
          <w:bCs/>
          <w:sz w:val="32"/>
          <w:szCs w:val="32"/>
          <w:lang w:val="en-US" w:eastAsia="zh-CN"/>
        </w:rPr>
        <w:t>项目管理能力不足</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集团</w:t>
      </w:r>
      <w:r>
        <w:rPr>
          <w:rFonts w:ascii="Times New Roman" w:eastAsia="方正仿宋_GBK" w:cs="Times New Roman" w:hAnsi="Times New Roman"/>
          <w:sz w:val="32"/>
          <w:szCs w:val="32"/>
          <w:lang w:eastAsia="zh-CN"/>
        </w:rPr>
        <w:t>科技创新部</w:t>
      </w:r>
      <w:r>
        <w:rPr>
          <w:rFonts w:ascii="Times New Roman" w:eastAsia="方正仿宋_GBK" w:cs="Times New Roman" w:hAnsi="Times New Roman"/>
          <w:sz w:val="32"/>
          <w:szCs w:val="32"/>
        </w:rPr>
        <w:t>目前缺乏具备ERP实施经验的项目管理人员、熟悉业财一体化流程的业务人员以及专职技术架构人员。8家企业、多系统集成的项目复杂度较高，若项目管理和技术把控能力不足，将导致进度失控、方案质量下降、集成联调反复等问题。</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应对建议：采用集团牵头、外部补强的模式组建PMO。项目管理方面，引入外部有经验的ERP项目经理带教辅助或由实施方派驻常驻项目经理；业务方面，由集团业务骨干参与方案评审，同时引入有同类项目实施经验的业务顾问；技术方面，由</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实施方派驻技术负责人常驻项目，与集团信息化人员组成联合技术组。</w:t>
      </w:r>
    </w:p>
    <w:p>
      <w:pPr>
        <w:pStyle w:val="2"/>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sz w:val="32"/>
          <w:szCs w:val="32"/>
        </w:rPr>
      </w:pPr>
      <w:r>
        <w:rPr>
          <w:rFonts w:ascii="Times New Roman" w:eastAsia="方正楷体_GBK" w:cs="Times New Roman" w:hAnsi="Times New Roman"/>
          <w:b w:val="0"/>
          <w:bCs/>
          <w:i w:val="0"/>
          <w:color w:val="000000"/>
          <w:kern w:val="2"/>
          <w:sz w:val="32"/>
          <w:szCs w:val="32"/>
          <w:lang w:val="en-US" w:eastAsia="zh-CN" w:bidi="ar-SA"/>
        </w:rPr>
        <w:t>（二）</w:t>
      </w:r>
      <w:r>
        <w:rPr>
          <w:rFonts w:ascii="Times New Roman" w:eastAsia="方正楷体_GBK" w:cs="Times New Roman" w:hAnsi="Times New Roman"/>
          <w:b w:val="0"/>
          <w:bCs/>
          <w:sz w:val="32"/>
          <w:szCs w:val="32"/>
        </w:rPr>
        <w:t>系统集成联调超预期</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统建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需同时对接浪潮财务、司库、银企直联三个外围系统，涉及凭证级穿透、资金结算闭环、收付款自动处理等复杂场景。接口联调往往比</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实施本身更难控制，一旦联调周期拉长会直接挤压上线时间。</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应对建议：试点期将联调工作前置，不等到系统建设完成后才开始；与浪潮、司库系统的对接方案在蓝图阶段（8~9月）就锁定接口规范；预算中预留接口变更的缓冲工作量。</w:t>
      </w:r>
    </w:p>
    <w:p>
      <w:pPr>
        <w:pStyle w:val="2"/>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i w:val="0"/>
          <w:color w:val="000000"/>
          <w:kern w:val="2"/>
          <w:sz w:val="32"/>
          <w:szCs w:val="32"/>
          <w:lang w:val="en-US" w:eastAsia="zh-CN" w:bidi="ar-SA"/>
        </w:rPr>
      </w:pPr>
      <w:r>
        <w:rPr>
          <w:rFonts w:ascii="Times New Roman" w:eastAsia="方正楷体_GBK" w:cs="Times New Roman" w:hAnsi="Times New Roman"/>
          <w:b w:val="0"/>
          <w:bCs/>
          <w:i w:val="0"/>
          <w:color w:val="000000"/>
          <w:kern w:val="2"/>
          <w:sz w:val="32"/>
          <w:szCs w:val="32"/>
          <w:lang w:val="en-US" w:eastAsia="zh-CN" w:bidi="ar-SA"/>
        </w:rPr>
        <w:t>（三）试点验证不充分，推广阶段返工</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2家企业覆盖</w:t>
      </w:r>
      <w:r>
        <w:rPr>
          <w:rFonts w:ascii="Times New Roman" w:eastAsia="方正仿宋_GBK" w:cs="Times New Roman" w:hAnsi="Times New Roman"/>
          <w:sz w:val="32"/>
          <w:szCs w:val="32"/>
          <w:lang w:eastAsia="zh-CN"/>
        </w:rPr>
        <w:t>养殖</w:t>
      </w:r>
      <w:r>
        <w:rPr>
          <w:rFonts w:ascii="Times New Roman" w:eastAsia="方正仿宋_GBK" w:cs="Times New Roman" w:hAnsi="Times New Roman"/>
          <w:sz w:val="32"/>
          <w:szCs w:val="32"/>
        </w:rPr>
        <w:t>和种植两类场景。但其余6家企业业态差异更大（肉品屠宰、水产养殖、资产运营等），试点沉淀的模板未必能完全复用，推广期可能遇到大量未覆盖的个性化需求导致工期溢出。</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应对建议：试点期间同步对6家推广企业做需求调研，提前识别差异点；在蓝图方案中明确共性功能统一建设与个性需求配置化实现的分层策略；推广期预留每个企业至少2周的独立适配窗口。</w:t>
      </w:r>
    </w:p>
    <w:p>
      <w:pPr>
        <w:pStyle w:val="2"/>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i w:val="0"/>
          <w:color w:val="000000"/>
          <w:kern w:val="2"/>
          <w:sz w:val="32"/>
          <w:szCs w:val="32"/>
          <w:lang w:val="en-US" w:eastAsia="zh-CN" w:bidi="ar-SA"/>
        </w:rPr>
      </w:pPr>
      <w:r>
        <w:rPr>
          <w:rFonts w:ascii="Times New Roman" w:eastAsia="方正楷体_GBK" w:cs="Times New Roman" w:hAnsi="Times New Roman"/>
          <w:b w:val="0"/>
          <w:bCs/>
          <w:i w:val="0"/>
          <w:color w:val="000000"/>
          <w:kern w:val="2"/>
          <w:sz w:val="32"/>
          <w:szCs w:val="32"/>
          <w:lang w:val="en-US" w:eastAsia="zh-CN" w:bidi="ar-SA"/>
        </w:rPr>
        <w:t>（四）多企业并行实施的资源瓶颈</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推广阶段6家企业并行推进，每家企业都需要需求确认、系统配置、数据迁移、用户培训、上线切换。实施团队人力（尤其是熟悉集团标准和集成方案的核心顾问）可能成为瓶颈。</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应对建议：明确实施团队的最低配比要求（建议不少于2组并行推进，每组负责3家）；试点企业关键用户可作为推广企业的内部顾问参与实施；推广顺序按业务复杂度和地域便利性排优先级。</w:t>
      </w:r>
    </w:p>
    <w:p>
      <w:pPr>
        <w:pStyle w:val="2"/>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i w:val="0"/>
          <w:color w:val="000000"/>
          <w:kern w:val="2"/>
          <w:sz w:val="32"/>
          <w:szCs w:val="32"/>
          <w:lang w:val="en-US" w:eastAsia="zh-CN" w:bidi="ar-SA"/>
        </w:rPr>
      </w:pPr>
      <w:r>
        <w:rPr>
          <w:rFonts w:ascii="Times New Roman" w:eastAsia="方正楷体_GBK" w:cs="Times New Roman" w:hAnsi="Times New Roman"/>
          <w:b w:val="0"/>
          <w:bCs/>
          <w:i w:val="0"/>
          <w:color w:val="000000"/>
          <w:kern w:val="2"/>
          <w:sz w:val="32"/>
          <w:szCs w:val="32"/>
          <w:lang w:val="en-US" w:eastAsia="zh-CN" w:bidi="ar-SA"/>
        </w:rPr>
        <w:t>（五）8家企业物料数据标准化难度超预期</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8家企业原有物料数据标准各异，特别是此前未建</w:t>
      </w:r>
      <w:r>
        <w:rPr>
          <w:rFonts w:ascii="Times New Roman" w:eastAsia="方正仿宋_GBK" w:cs="Times New Roman" w:hAnsi="Times New Roman"/>
          <w:sz w:val="32"/>
          <w:szCs w:val="32"/>
          <w:lang w:eastAsia="zh-CN"/>
        </w:rPr>
        <w:t>供应链业财一体化系统</w:t>
      </w:r>
      <w:r>
        <w:rPr>
          <w:rFonts w:ascii="Times New Roman" w:eastAsia="方正仿宋_GBK" w:cs="Times New Roman" w:hAnsi="Times New Roman"/>
          <w:sz w:val="32"/>
          <w:szCs w:val="32"/>
        </w:rPr>
        <w:t>的企业（如农垦发展、华牧农业）可能根本没有编码体系。按照三段式混合编码统一清洗和赋码的工作量大，若试点期来不及完成，会拖累推广进度。</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应对建议：蓝图阶段就对8家企业物料数据现状做摸底，预判工作量；优先清洗高频物料的编码，低频物料可分批处理；明确增量物料编码的审批SLA，避免编码申请堆积。</w:t>
      </w:r>
    </w:p>
    <w:p>
      <w:pPr>
        <w:pStyle w:val="2"/>
        <w:keepNext/>
        <w:keepLines/>
        <w:pageBreakBefore w:val="0"/>
        <w:widowControl w:val="0"/>
        <w:kinsoku/>
        <w:wordWrap/>
        <w:overflowPunct/>
        <w:topLinePunct w:val="0"/>
        <w:autoSpaceDE/>
        <w:autoSpaceDN/>
        <w:bidi w:val="0"/>
        <w:adjustRightInd/>
        <w:snapToGrid/>
        <w:spacing w:before="0" w:after="0" w:line="600" w:lineRule="exact"/>
        <w:ind w:left="0" w:right="0" w:firstLineChars="200" w:firstLine="640"/>
        <w:jc w:val="left"/>
        <w:textAlignment w:val="auto"/>
        <w:rPr>
          <w:rFonts w:ascii="Times New Roman" w:eastAsia="方正楷体_GBK" w:cs="Times New Roman" w:hAnsi="Times New Roman"/>
          <w:b w:val="0"/>
          <w:bCs/>
          <w:i w:val="0"/>
          <w:color w:val="000000"/>
          <w:kern w:val="2"/>
          <w:sz w:val="32"/>
          <w:szCs w:val="32"/>
          <w:lang w:val="en-US" w:eastAsia="zh-CN" w:bidi="ar-SA"/>
        </w:rPr>
      </w:pPr>
      <w:r>
        <w:rPr>
          <w:rFonts w:ascii="Times New Roman" w:eastAsia="方正楷体_GBK" w:cs="Times New Roman" w:hAnsi="Times New Roman"/>
          <w:b w:val="0"/>
          <w:bCs/>
          <w:i w:val="0"/>
          <w:color w:val="000000"/>
          <w:kern w:val="2"/>
          <w:sz w:val="32"/>
          <w:szCs w:val="32"/>
          <w:lang w:val="en-US" w:eastAsia="zh-CN" w:bidi="ar-SA"/>
        </w:rPr>
        <w:t>（六）组织变革与用户接受度</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部分企业（农投资产、华牧农业、农垦发展等）此前没有ERP使用经验，从手工或线下直接切换到统一</w:t>
      </w:r>
      <w:r>
        <w:rPr>
          <w:rFonts w:ascii="Times New Roman" w:eastAsia="方正仿宋_GBK" w:cs="Times New Roman" w:hAnsi="Times New Roman"/>
          <w:sz w:val="32"/>
          <w:szCs w:val="32"/>
          <w:lang w:eastAsia="zh-CN"/>
        </w:rPr>
        <w:t>系统</w:t>
      </w:r>
      <w:r>
        <w:rPr>
          <w:rFonts w:ascii="Times New Roman" w:eastAsia="方正仿宋_GBK" w:cs="Times New Roman" w:hAnsi="Times New Roman"/>
          <w:sz w:val="32"/>
          <w:szCs w:val="32"/>
        </w:rPr>
        <w:t>，业务流程变化大，一线员工可能抵触或操作不熟练，影响系统上线后的实际使用效果。</w:t>
      </w:r>
    </w:p>
    <w:p>
      <w:pPr>
        <w:pageBreakBefore w:val="0"/>
        <w:widowControl w:val="0"/>
        <w:kinsoku/>
        <w:wordWrap/>
        <w:overflowPunct/>
        <w:topLinePunct w:val="0"/>
        <w:autoSpaceDE/>
        <w:autoSpaceDN/>
        <w:bidi w:val="0"/>
        <w:adjustRightInd/>
        <w:snapToGrid/>
        <w:spacing w:line="600" w:lineRule="exact"/>
        <w:ind w:left="0" w:right="0"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应对建议：对零基础企业增加培训时长和实操演练环节；推行业务骨干先学、再带教一线员工的梯次培训模式；上线初期设置1个月并行期（新旧流程并存），降低切换风险。</w:t>
      </w:r>
    </w:p>
    <w:p>
      <w:pPr>
        <w:pStyle w:val="1"/>
        <w:keepNext/>
        <w:keepLines/>
        <w:pageBreakBefore w:val="0"/>
        <w:kinsoku/>
        <w:wordWrap/>
        <w:overflowPunct/>
        <w:topLinePunct w:val="0"/>
        <w:autoSpaceDE/>
        <w:autoSpaceDN/>
        <w:bidi w:val="0"/>
        <w:spacing w:before="0" w:after="0" w:line="600" w:lineRule="exact"/>
        <w:ind w:firstLineChars="200" w:firstLine="640"/>
        <w:jc w:val="left"/>
        <w:textAlignment w:val="auto"/>
        <w:rPr>
          <w:rFonts w:ascii="Times New Roman" w:eastAsia="方正黑体_GBK" w:cs="Times New Roman" w:hAnsi="Times New Roman"/>
          <w:b w:val="0"/>
          <w:bCs/>
          <w:sz w:val="32"/>
          <w:szCs w:val="32"/>
          <w:lang w:eastAsia="zh-CN"/>
        </w:rPr>
      </w:pPr>
      <w:r>
        <w:rPr>
          <w:rFonts w:ascii="Times New Roman" w:eastAsia="方正黑体_GBK" w:cs="Times New Roman" w:hAnsi="Times New Roman"/>
          <w:b w:val="0"/>
          <w:bCs/>
          <w:sz w:val="32"/>
          <w:szCs w:val="32"/>
          <w:lang w:eastAsia="zh-CN"/>
        </w:rPr>
        <w:t>十三</w:t>
      </w:r>
      <w:r>
        <w:rPr>
          <w:rFonts w:ascii="Times New Roman" w:eastAsia="方正黑体_GBK" w:cs="Times New Roman" w:hAnsi="Times New Roman"/>
          <w:b w:val="0"/>
          <w:bCs/>
          <w:sz w:val="32"/>
          <w:szCs w:val="32"/>
        </w:rPr>
        <w:t>、保障</w:t>
      </w:r>
      <w:r>
        <w:rPr>
          <w:rFonts w:ascii="Times New Roman" w:eastAsia="方正黑体_GBK" w:cs="Times New Roman" w:hAnsi="Times New Roman"/>
          <w:b w:val="0"/>
          <w:bCs/>
          <w:sz w:val="32"/>
          <w:szCs w:val="32"/>
          <w:lang w:eastAsia="zh-CN"/>
        </w:rPr>
        <w:t>措施</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为保障供应链业财一体化</w:t>
      </w:r>
      <w:r>
        <w:rPr>
          <w:rFonts w:ascii="Times New Roman" w:eastAsia="方正仿宋_GBK" w:cs="Times New Roman" w:hAnsi="Times New Roman"/>
          <w:sz w:val="32"/>
          <w:szCs w:val="32"/>
          <w:lang w:eastAsia="zh-CN"/>
        </w:rPr>
        <w:t>系统</w:t>
      </w:r>
      <w:r>
        <w:rPr>
          <w:rFonts w:ascii="Times New Roman" w:eastAsia="方正仿宋_GBK" w:cs="Times New Roman" w:hAnsi="Times New Roman"/>
          <w:sz w:val="32"/>
          <w:szCs w:val="32"/>
        </w:rPr>
        <w:t>项目的顺利推进，明确项目组织架构、职责分工与工作机制，确保集团统筹协调、各企业积极配合、实施方专业交付，成立农投集团供应链业财一体化</w:t>
      </w:r>
      <w:r>
        <w:rPr>
          <w:rFonts w:ascii="Times New Roman" w:eastAsia="方正仿宋_GBK" w:cs="Times New Roman" w:hAnsi="Times New Roman"/>
          <w:sz w:val="32"/>
          <w:szCs w:val="32"/>
          <w:lang w:eastAsia="zh-CN"/>
        </w:rPr>
        <w:t>系统</w:t>
      </w:r>
      <w:r>
        <w:rPr>
          <w:rFonts w:ascii="Times New Roman" w:eastAsia="方正仿宋_GBK" w:cs="Times New Roman" w:hAnsi="Times New Roman"/>
          <w:sz w:val="32"/>
          <w:szCs w:val="32"/>
        </w:rPr>
        <w:t>项目工作小组。</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楷体_GBK" w:cs="Times New Roman" w:hAnsi="Times New Roman"/>
          <w:b w:val="0"/>
          <w:bCs/>
          <w:sz w:val="32"/>
          <w:szCs w:val="32"/>
        </w:rPr>
      </w:pPr>
      <w:r>
        <w:rPr>
          <w:rFonts w:ascii="Times New Roman" w:eastAsia="方正楷体_GBK" w:cs="Times New Roman" w:hAnsi="Times New Roman"/>
          <w:b w:val="0"/>
          <w:bCs/>
          <w:sz w:val="32"/>
          <w:szCs w:val="32"/>
        </w:rPr>
        <w:t>（一）项目</w:t>
      </w:r>
      <w:r>
        <w:rPr>
          <w:rFonts w:ascii="Times New Roman" w:eastAsia="方正楷体_GBK" w:cs="Times New Roman" w:hAnsi="Times New Roman"/>
          <w:b w:val="0"/>
          <w:bCs/>
          <w:sz w:val="32"/>
          <w:szCs w:val="32"/>
          <w:lang w:eastAsia="zh-CN"/>
        </w:rPr>
        <w:t>建设工作</w:t>
      </w:r>
      <w:r>
        <w:rPr>
          <w:rFonts w:ascii="Times New Roman" w:eastAsia="方正楷体_GBK" w:cs="Times New Roman" w:hAnsi="Times New Roman"/>
          <w:b w:val="0"/>
          <w:bCs/>
          <w:sz w:val="32"/>
          <w:szCs w:val="32"/>
        </w:rPr>
        <w:t>小组</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lang w:eastAsia="zh-CN"/>
        </w:rPr>
      </w:pPr>
      <w:r>
        <w:rPr>
          <w:rFonts w:ascii="Times New Roman" w:eastAsia="方正仿宋_GBK" w:cs="Times New Roman" w:hAnsi="Times New Roman"/>
          <w:sz w:val="32"/>
          <w:szCs w:val="32"/>
        </w:rPr>
        <w:t>组    长：集团</w:t>
      </w:r>
      <w:r>
        <w:rPr>
          <w:rFonts w:ascii="Times New Roman" w:eastAsia="方正仿宋_GBK" w:cs="Times New Roman" w:hAnsi="Times New Roman"/>
          <w:sz w:val="32"/>
          <w:szCs w:val="32"/>
          <w:lang w:val="en-US" w:eastAsia="zh-CN"/>
        </w:rPr>
        <w:t>信息化</w:t>
      </w:r>
      <w:r>
        <w:rPr>
          <w:rFonts w:ascii="Times New Roman" w:eastAsia="方正仿宋_GBK" w:cs="Times New Roman" w:hAnsi="Times New Roman"/>
          <w:sz w:val="32"/>
          <w:szCs w:val="32"/>
          <w:lang w:eastAsia="zh-CN"/>
        </w:rPr>
        <w:t>、</w:t>
      </w:r>
      <w:r>
        <w:rPr>
          <w:rFonts w:ascii="Times New Roman" w:eastAsia="方正仿宋_GBK" w:cs="Times New Roman" w:hAnsi="Times New Roman"/>
          <w:sz w:val="32"/>
          <w:szCs w:val="32"/>
          <w:lang w:val="en-US" w:eastAsia="zh-CN"/>
        </w:rPr>
        <w:t>财务</w:t>
      </w:r>
      <w:r>
        <w:rPr>
          <w:rFonts w:ascii="Times New Roman" w:eastAsia="方正仿宋_GBK" w:cs="Times New Roman" w:hAnsi="Times New Roman"/>
          <w:sz w:val="32"/>
          <w:szCs w:val="32"/>
        </w:rPr>
        <w:t>分管</w:t>
      </w:r>
      <w:r>
        <w:rPr>
          <w:rFonts w:ascii="Times New Roman" w:eastAsia="方正仿宋_GBK" w:cs="Times New Roman" w:hAnsi="Times New Roman"/>
          <w:sz w:val="32"/>
          <w:szCs w:val="32"/>
          <w:lang w:eastAsia="zh-CN"/>
        </w:rPr>
        <w:t>领导</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成    员：集团相关部室负责人、</w:t>
      </w:r>
      <w:r>
        <w:rPr>
          <w:rFonts w:ascii="Times New Roman" w:eastAsia="方正仿宋_GBK" w:cs="Times New Roman" w:hAnsi="Times New Roman"/>
          <w:sz w:val="32"/>
          <w:szCs w:val="32"/>
          <w:lang w:eastAsia="zh-CN"/>
        </w:rPr>
        <w:t>所</w:t>
      </w:r>
      <w:r>
        <w:rPr>
          <w:rFonts w:ascii="Times New Roman" w:eastAsia="方正仿宋_GBK" w:cs="Times New Roman" w:hAnsi="Times New Roman"/>
          <w:sz w:val="32"/>
          <w:szCs w:val="32"/>
        </w:rPr>
        <w:t>属企业主要负责人</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工作职责：作为项目</w:t>
      </w:r>
      <w:r>
        <w:rPr>
          <w:rFonts w:ascii="Times New Roman" w:eastAsia="方正仿宋_GBK" w:cs="Times New Roman" w:hAnsi="Times New Roman"/>
          <w:sz w:val="32"/>
          <w:szCs w:val="32"/>
          <w:lang w:eastAsia="zh-CN"/>
        </w:rPr>
        <w:t>建设</w:t>
      </w:r>
      <w:r>
        <w:rPr>
          <w:rFonts w:ascii="Times New Roman" w:eastAsia="方正仿宋_GBK" w:cs="Times New Roman" w:hAnsi="Times New Roman"/>
          <w:sz w:val="32"/>
          <w:szCs w:val="32"/>
        </w:rPr>
        <w:t>的最高决策机构，负责项目重大事项决策、跨部门资源协调、建设里程碑审批、实施成效考核。审定项目建设方案、主数据标准方案、系统选型、项目预算及变更等重大事项。</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楷体_GBK" w:cs="Times New Roman" w:hAnsi="Times New Roman"/>
          <w:b w:val="0"/>
          <w:bCs/>
          <w:sz w:val="32"/>
          <w:szCs w:val="32"/>
        </w:rPr>
      </w:pPr>
      <w:r>
        <w:rPr>
          <w:rFonts w:ascii="Times New Roman" w:eastAsia="方正楷体_GBK" w:cs="Times New Roman" w:hAnsi="Times New Roman"/>
          <w:b w:val="0"/>
          <w:bCs/>
          <w:sz w:val="32"/>
          <w:szCs w:val="32"/>
        </w:rPr>
        <w:t>（二）项目</w:t>
      </w:r>
      <w:r>
        <w:rPr>
          <w:rFonts w:ascii="Times New Roman" w:eastAsia="方正楷体_GBK" w:cs="Times New Roman" w:hAnsi="Times New Roman"/>
          <w:b w:val="0"/>
          <w:bCs/>
          <w:sz w:val="32"/>
          <w:szCs w:val="32"/>
          <w:lang w:eastAsia="zh-CN"/>
        </w:rPr>
        <w:t>建设工作小组</w:t>
      </w:r>
      <w:r>
        <w:rPr>
          <w:rFonts w:ascii="Times New Roman" w:eastAsia="方正楷体_GBK" w:cs="Times New Roman" w:hAnsi="Times New Roman"/>
          <w:b w:val="0"/>
          <w:bCs/>
          <w:sz w:val="32"/>
          <w:szCs w:val="32"/>
        </w:rPr>
        <w:t>办公室</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主    任：</w:t>
      </w:r>
      <w:r>
        <w:rPr>
          <w:rFonts w:ascii="Times New Roman" w:eastAsia="方正仿宋_GBK" w:cs="Times New Roman" w:hAnsi="Times New Roman"/>
          <w:sz w:val="32"/>
          <w:szCs w:val="32"/>
          <w:lang w:eastAsia="zh-CN"/>
        </w:rPr>
        <w:t>科技创新部</w:t>
      </w:r>
      <w:r>
        <w:rPr>
          <w:rFonts w:ascii="Times New Roman" w:eastAsia="方正仿宋_GBK" w:cs="Times New Roman" w:hAnsi="Times New Roman"/>
          <w:sz w:val="32"/>
          <w:szCs w:val="32"/>
        </w:rPr>
        <w:t>负责人</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rPr>
        <w:t>副 主 任：</w:t>
      </w:r>
      <w:r>
        <w:rPr>
          <w:rFonts w:ascii="Times New Roman" w:eastAsia="方正仿宋_GBK" w:cs="Times New Roman" w:hAnsi="Times New Roman"/>
          <w:sz w:val="32"/>
          <w:szCs w:val="32"/>
          <w:lang w:val="en-US" w:eastAsia="zh-CN"/>
        </w:rPr>
        <w:t>财务资金部负责人</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成    员：各企业分管领导及业务对接人、实施方核心成员</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工作职责：作为项目</w:t>
      </w:r>
      <w:r>
        <w:rPr>
          <w:rFonts w:ascii="Times New Roman" w:eastAsia="方正仿宋_GBK" w:cs="Times New Roman" w:hAnsi="Times New Roman"/>
          <w:sz w:val="32"/>
          <w:szCs w:val="32"/>
          <w:lang w:eastAsia="zh-CN"/>
        </w:rPr>
        <w:t>建设</w:t>
      </w:r>
      <w:r>
        <w:rPr>
          <w:rFonts w:ascii="Times New Roman" w:eastAsia="方正仿宋_GBK" w:cs="Times New Roman" w:hAnsi="Times New Roman"/>
          <w:sz w:val="32"/>
          <w:szCs w:val="32"/>
        </w:rPr>
        <w:t>日常管理机构，</w:t>
      </w:r>
      <w:r>
        <w:rPr>
          <w:rFonts w:ascii="Times New Roman" w:eastAsia="方正仿宋_GBK" w:cs="Times New Roman" w:hAnsi="Times New Roman"/>
          <w:sz w:val="32"/>
          <w:szCs w:val="32"/>
          <w:lang w:eastAsia="zh-CN"/>
        </w:rPr>
        <w:t>统筹</w:t>
      </w:r>
      <w:r>
        <w:rPr>
          <w:rFonts w:ascii="Times New Roman" w:eastAsia="方正仿宋_GBK" w:cs="Times New Roman" w:hAnsi="Times New Roman"/>
          <w:sz w:val="32"/>
          <w:szCs w:val="32"/>
        </w:rPr>
        <w:t>推进各项工作。</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楷体_GBK" w:cs="Times New Roman" w:hAnsi="Times New Roman"/>
          <w:b w:val="0"/>
          <w:bCs/>
          <w:sz w:val="32"/>
          <w:szCs w:val="32"/>
        </w:rPr>
      </w:pPr>
      <w:r>
        <w:rPr>
          <w:rFonts w:ascii="Times New Roman" w:eastAsia="方正楷体_GBK" w:cs="Times New Roman" w:hAnsi="Times New Roman"/>
          <w:b w:val="0"/>
          <w:bCs/>
          <w:sz w:val="32"/>
          <w:szCs w:val="32"/>
        </w:rPr>
        <w:t>（</w:t>
      </w:r>
      <w:r>
        <w:rPr>
          <w:rFonts w:ascii="Times New Roman" w:eastAsia="方正楷体_GBK" w:cs="Times New Roman" w:hAnsi="Times New Roman"/>
          <w:b w:val="0"/>
          <w:bCs/>
          <w:sz w:val="32"/>
          <w:szCs w:val="32"/>
          <w:lang w:eastAsia="zh-CN"/>
        </w:rPr>
        <w:t>三</w:t>
      </w:r>
      <w:r>
        <w:rPr>
          <w:rFonts w:ascii="Times New Roman" w:eastAsia="方正楷体_GBK" w:cs="Times New Roman" w:hAnsi="Times New Roman"/>
          <w:b w:val="0"/>
          <w:bCs/>
          <w:sz w:val="32"/>
          <w:szCs w:val="32"/>
        </w:rPr>
        <w:t>）企业侧工作机制</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lang w:eastAsia="zh-CN"/>
        </w:rPr>
        <w:t>所</w:t>
      </w:r>
      <w:r>
        <w:rPr>
          <w:rFonts w:ascii="Times New Roman" w:eastAsia="方正仿宋_GBK" w:cs="Times New Roman" w:hAnsi="Times New Roman"/>
          <w:sz w:val="32"/>
          <w:szCs w:val="32"/>
        </w:rPr>
        <w:t>属企业是项目成功落地的关键主体，需明确责任人和工作机制：</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rPr>
        <w:t>1.人员配置</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各企业指定一名分管领导（统筹协调本企业项目工作）和一名业务对接人（负责日常沟通协调）。</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rPr>
        <w:t>2.需求输出</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各企业负责本企业的业务需求调研与确认，确保需求真实反映业务痛点和管理诉求，由企业主要负责人签字确认。</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rPr>
        <w:t>3.配合责任</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各企业需按要求提供数据准备（历史数据整理、物料数据清洗）、参与系统UAT测试、组织本企业用户培训、配合上线切换和并行期跟踪。</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rPr>
        <w:t>4.沟通机制</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建立双周例会制度，各企业对接人汇报本企业进展与问题；每月向PMO提交书面进展报告；重大问题通过升级通道直接提交领导小组决策。</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楷体_GBK" w:cs="Times New Roman" w:hAnsi="Times New Roman"/>
          <w:b w:val="0"/>
          <w:bCs/>
          <w:sz w:val="32"/>
          <w:szCs w:val="32"/>
        </w:rPr>
      </w:pPr>
      <w:r>
        <w:rPr>
          <w:rFonts w:ascii="Times New Roman" w:eastAsia="方正楷体_GBK" w:cs="Times New Roman" w:hAnsi="Times New Roman"/>
          <w:b w:val="0"/>
          <w:bCs/>
          <w:sz w:val="32"/>
          <w:szCs w:val="32"/>
        </w:rPr>
        <w:t>（</w:t>
      </w:r>
      <w:r>
        <w:rPr>
          <w:rFonts w:ascii="Times New Roman" w:eastAsia="方正楷体_GBK" w:cs="Times New Roman" w:hAnsi="Times New Roman"/>
          <w:b w:val="0"/>
          <w:bCs/>
          <w:sz w:val="32"/>
          <w:szCs w:val="32"/>
          <w:lang w:eastAsia="zh-CN"/>
        </w:rPr>
        <w:t>四</w:t>
      </w:r>
      <w:r>
        <w:rPr>
          <w:rFonts w:ascii="Times New Roman" w:eastAsia="方正楷体_GBK" w:cs="Times New Roman" w:hAnsi="Times New Roman"/>
          <w:b w:val="0"/>
          <w:bCs/>
          <w:sz w:val="32"/>
          <w:szCs w:val="32"/>
        </w:rPr>
        <w:t>）项目监理机制</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为保障项目建设的规范性和交付质量，引入第三方监理单位，独立履行监督职责：</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rPr>
        <w:t>1.过程审计</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对项目建设全过程的文档、代码、配置进行抽查，确保符合方案要求和行业标准。</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rPr>
        <w:t>2.质量检查</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对各阶段交付物（需求文档、设计方案、测试报告、上线报告等）进行独立评审。</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rPr>
        <w:t>3.里程碑验收</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对项目关键里程碑节点进行独立验收评估，出具验收意见，作为付款依据。</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rPr>
        <w:t>4.合规审查</w:t>
      </w:r>
    </w:p>
    <w:p>
      <w:pPr>
        <w:pageBreakBefore w:val="0"/>
        <w:widowControl w:val="0"/>
        <w:kinsoku/>
        <w:wordWrap/>
        <w:overflowPunct/>
        <w:topLinePunct w:val="0"/>
        <w:autoSpaceDE/>
        <w:autoSpaceDN/>
        <w:bidi w:val="0"/>
        <w:spacing w:line="60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确保项目实施过程符合集团采购、合同、信息安全相关管理制度。</w:t>
      </w:r>
    </w:p>
    <w:sectPr>
      <w:footerReference w:type="default" r:id="rId2"/>
      <w:footerReference w:type="even" r:id="rId3"/>
      <w:pgSz w:w="11906" w:h="16838"/>
      <w:pgMar w:top="1984" w:right="1446" w:bottom="1644" w:left="1446" w:header="851" w:footer="992" w:gutter="0"/>
      <w:pgNumType/>
      <w:docGrid w:type="lines" w:linePitch="387" w:charSpace="0"/>
    </w:sectPr>
  </w:body>
</w:document>
</file>

<file path=word/fontTable.xml><?xml version="1.0" encoding="utf-8"?>
<w:fonts xmlns:w="http://schemas.openxmlformats.org/wordprocessingml/2006/main" xmlns:r="http://schemas.openxmlformats.org/officeDocument/2006/relationships">
  <w:font w:name="宋体">
    <w:altName w:val="国标黑体"/>
    <w:panose1 w:val="02010600030101010101"/>
    <w:charset w:val="86"/>
    <w:family w:val="auto"/>
    <w:pitch w:val="variable"/>
    <w:sig w:usb0="00000003" w:usb1="288F0000" w:usb2="00000006" w:usb3="00000000" w:csb0="00040001" w:csb1="00000000"/>
  </w:font>
  <w:font w:name="Times New Roman">
    <w:panose1 w:val="02020603050405020304"/>
    <w:charset w:val="00"/>
    <w:family w:val="auto"/>
    <w:pitch w:val="variable"/>
    <w:sig w:usb0="00007A87" w:usb1="80000000" w:usb2="00000008" w:usb3="00000000" w:csb0="400001FF" w:csb1="FFFF0000"/>
  </w:font>
  <w:font w:name="方正小标宋_GBK">
    <w:panose1 w:val="02000000000000000000"/>
    <w:charset w:val="86"/>
    <w:family w:val="auto"/>
    <w:pitch w:val="variable"/>
    <w:sig w:usb0="00000001" w:usb1="08000000" w:usb2="00000000" w:usb3="00000000" w:csb0="00040000" w:csb1="00000000"/>
  </w:font>
  <w:font w:name="方正楷体_GBK">
    <w:panose1 w:val="02000000000000000000"/>
    <w:charset w:val="86"/>
    <w:family w:val="auto"/>
    <w:pitch w:val="variable"/>
    <w:sig w:usb0="00000001" w:usb1="08000000" w:usb2="00000000" w:usb3="00000000" w:csb0="00040000" w:csb1="00000000"/>
  </w:font>
  <w:font w:name="方正黑体_GBK">
    <w:panose1 w:val="02000000000000000000"/>
    <w:charset w:val="86"/>
    <w:family w:val="auto"/>
    <w:pitch w:val="variable"/>
    <w:sig w:usb0="00000001" w:usb1="08000000" w:usb2="00000000" w:usb3="00000000" w:csb0="00040000" w:csb1="00000000"/>
  </w:font>
  <w:font w:name="方正仿宋_GBK">
    <w:panose1 w:val="02000000000000000000"/>
    <w:charset w:val="86"/>
    <w:family w:val="auto"/>
    <w:pitch w:val="variable"/>
    <w:sig w:usb0="00000001" w:usb1="08000000" w:usb2="00000000" w:usb3="00000000" w:csb0="00040000" w:csb1="00000000"/>
  </w:font>
  <w:font w:name="仿宋_GB2312">
    <w:altName w:val="CESI宋体-GB2312"/>
    <w:panose1 w:val="02010609030101010101"/>
    <w:charset w:val="00"/>
    <w:family w:val="auto"/>
    <w:pitch w:val="variable"/>
    <w:sig w:usb0="00000001" w:usb1="080E0000" w:usb2="00000000" w:usb3="00000000" w:csb0="00040000" w:csb1="00000000"/>
  </w:font>
  <w:font w:name="Lucida Sans">
    <w:altName w:val="DejaVu Sans"/>
    <w:panose1 w:val="020B0602030504020204"/>
    <w:charset w:val="00"/>
    <w:family w:val="auto"/>
    <w:pitch w:val="variable"/>
    <w:sig w:usb0="00000003" w:usb1="00000000" w:usb2="00000000" w:usb3="00000000" w:csb0="20000001" w:csb1="00000000"/>
  </w:font>
  <w:font w:name="Arial">
    <w:altName w:val="Times New Roman"/>
    <w:panose1 w:val="020B0604020202020204"/>
    <w:charset w:val="00"/>
    <w:family w:val="swiss"/>
    <w:pitch w:val="variable"/>
    <w:sig w:usb0="E0002AFF" w:usb1="C0007843" w:usb2="00000009" w:usb3="00000000" w:csb0="400001FF" w:csb1="FFFF0000"/>
  </w:font>
  <w:font w:name="微软雅黑">
    <w:altName w:val="方正黑体_GBK"/>
    <w:panose1 w:val="020B0503020204020204"/>
    <w:charset w:val="00"/>
    <w:family w:val="swiss"/>
    <w:pitch w:val="variable"/>
    <w:sig w:usb0="80000287" w:usb1="280F3C52" w:usb2="00000016" w:usb3="00000000" w:csb0="0004001F" w:csb1="00000000"/>
  </w:font>
  <w:font w:name="Calibri">
    <w:altName w:val="Times New Roman"/>
    <w:panose1 w:val="020F0502020204030204"/>
    <w:charset w:val="00"/>
    <w:family w:val="swiss"/>
    <w:pitch w:val="variable"/>
    <w:sig w:usb0="00000000" w:usb1="00000000" w:usb2="00000001" w:usb3="00000000" w:csb0="0000019F" w:csb1="00000000"/>
  </w:font>
  <w:font w:name="黑体">
    <w:altName w:val="方正黑体_GBK"/>
    <w:panose1 w:val="02010609060101010101"/>
    <w:charset w:val="00"/>
    <w:family w:val="auto"/>
    <w:pitch w:val="variable"/>
    <w:sig w:usb0="800002BF" w:usb1="38CF7CFA" w:usb2="00000016" w:usb3="00000000" w:csb0="00040001" w:csb1="00000000"/>
  </w:font>
  <w:font w:name="Helvetica Neue">
    <w:altName w:val="Times New Roman"/>
    <w:panose1 w:val="02000503000000020004"/>
    <w:charset w:val="00"/>
    <w:family w:val="auto"/>
    <w:pitch w:val="variable"/>
    <w:sig w:usb0="00000000" w:usb1="00000000" w:usb2="00000010" w:usb3="00000000" w:csb0="00000000" w:csb1="00000000"/>
  </w:font>
  <w:font w:name="PingFang SC">
    <w:altName w:val="方正超粗黑_GBK"/>
    <w:panose1 w:val="020B0400000000000000"/>
    <w:charset w:val="00"/>
    <w:family w:val="auto"/>
    <w:pitch w:val="variable"/>
    <w:sig w:usb0="00000000" w:usb1="00000000" w:usb2="00000017"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8"/>
      <w:tabs>
        <w:tab w:val="clear" w:pos="4153"/>
        <w:tab w:val="clear" w:pos="8306"/>
        <w:tab w:val="center" w:pos="4153"/>
        <w:tab w:val="right" w:pos="8306"/>
      </w:tabs>
      <w:ind w:firstLine="360"/>
      <w:jc w:val="center"/>
    </w:pPr>
    <w:r>
      <w:rPr>
        <w:sz w:val="18"/>
      </w:rPr>
      <mc:AlternateContent>
        <mc:Choice Requires="wps">
          <w:drawing>
            <wp:anchor distT="0" distB="0" distL="114300" distR="114300" simplePos="0" relativeHeight="30" behindDoc="0" locked="0" layoutInCell="1" hidden="0" allowOverlap="1">
              <wp:simplePos x="0" y="0"/>
              <wp:positionH relativeFrom="margin">
                <wp:align>outside</wp:align>
              </wp:positionH>
              <wp:positionV relativeFrom="paragraph">
                <wp:posOffset>-9929159</wp:posOffset>
              </wp:positionV>
              <wp:extent cx="707727" cy="257670"/>
              <wp:wrapNone/>
              <wp:docPr id="5" name="文本框 2"/>
              <wp:cNvGraphicFramePr>
                <a:graphicFrameLocks noChangeAspect="0"/>
              </wp:cNvGraphicFramePr>
              <a:graphic>
                <a:graphicData uri="http://schemas.microsoft.com/office/word/2010/wordprocessingShape">
                  <wps:wsp>
                    <wps:cNvSpPr/>
                    <wps:spPr>
                      <a:xfrm rot="0">
                        <a:off x="0" y="0"/>
                        <a:ext cx="707727" cy="257670"/>
                      </a:xfrm>
                      <a:prstGeom prst="rect"/>
                      <a:noFill/>
                      <a:ln w="6350" cmpd="sng" cap="flat">
                        <a:noFill/>
                        <a:prstDash val="solid"/>
                        <a:miter/>
                      </a:ln>
                      <a:effectLst/>
                    </wps:spPr>
                    <wps:txbx id="1">
                      <w:txbxContent>
                        <w:p>
                          <w:pPr>
                            <w:pStyle w:val="28"/>
                            <w:tabs>
                              <w:tab w:val="clear" w:pos="4153"/>
                              <w:tab w:val="clear" w:pos="8306"/>
                              <w:tab w:val="center" w:pos="4153"/>
                              <w:tab w:val="right" w:pos="8306"/>
                            </w:tabs>
                            <w:rPr>
                              <w:rFonts w:ascii="宋体" w:eastAsia="宋体" w:cs="宋体" w:hAnsi="宋体" w:hint="eastAsia"/>
                              <w:sz w:val="28"/>
                              <w:szCs w:val="28"/>
                            </w:rPr>
                          </w:pPr>
                          <w:r>
                            <w:rPr>
                              <w:rFonts w:ascii="宋体" w:eastAsia="宋体" w:cs="宋体" w:hAnsi="宋体" w:hint="eastAsia"/>
                              <w:sz w:val="28"/>
                              <w:szCs w:val="28"/>
                            </w:rPr>
                            <w:t xml:space="preserve">— </w:t>
                          </w:r>
                          <w:r>
                            <w:rPr>
                              <w:rFonts w:ascii="宋体" w:eastAsia="宋体" w:cs="宋体" w:hAnsi="宋体" w:hint="eastAsia"/>
                              <w:sz w:val="28"/>
                              <w:szCs w:val="28"/>
                            </w:rPr>
                            <w:fldChar w:fldCharType="begin"/>
                          </w:r>
                          <w:r>
                            <w:rPr>
                              <w:rFonts w:ascii="宋体" w:eastAsia="宋体" w:cs="宋体" w:hAnsi="宋体" w:hint="eastAsia"/>
                              <w:sz w:val="28"/>
                              <w:szCs w:val="28"/>
                            </w:rPr>
                            <w:instrText xml:space="preserve"> PAGE  \* MERGEFORMAT </w:instrText>
                          </w:r>
                          <w:r>
                            <w:rPr>
                              <w:rFonts w:ascii="宋体" w:eastAsia="宋体" w:cs="宋体" w:hAnsi="宋体" w:hint="eastAsia"/>
                              <w:sz w:val="28"/>
                              <w:szCs w:val="28"/>
                            </w:rPr>
                            <w:fldChar w:fldCharType="separate"/>
                          </w:r>
                          <w:r>
                            <w:rPr>
                              <w:rFonts w:ascii="宋体" w:eastAsia="宋体" w:cs="宋体" w:hAnsi="宋体" w:hint="eastAsia"/>
                              <w:sz w:val="28"/>
                              <w:szCs w:val="28"/>
                            </w:rPr>
                            <w:t>1</w:t>
                          </w:r>
                          <w:r>
                            <w:rPr>
                              <w:rFonts w:ascii="宋体" w:eastAsia="宋体" w:cs="宋体" w:hAnsi="宋体" w:hint="eastAsia"/>
                              <w:sz w:val="28"/>
                              <w:szCs w:val="28"/>
                            </w:rPr>
                            <w:fldChar w:fldCharType="end"/>
                          </w:r>
                          <w:r>
                            <w:rPr>
                              <w:rFonts w:ascii="宋体" w:eastAsia="宋体" w:cs="宋体" w:hAnsi="宋体" w:hint="eastAsia"/>
                              <w:sz w:val="28"/>
                              <w:szCs w:val="28"/>
                            </w:rPr>
                            <w:t xml:space="preserve"> —</w:t>
                          </w:r>
                        </w:p>
                      </w:txbxContent>
                    </wps:txbx>
                    <wps:bodyPr vert="horz" wrap="none" lIns="0" tIns="0" rIns="0" bIns="0" anchor="t" anchorCtr="0" upright="1">
                      <a:spAutoFit/>
                    </wps:bodyPr>
                  </wps:wsp>
                </a:graphicData>
              </a:graphic>
            </wp:anchor>
          </w:drawing>
        </mc:Choice>
        <mc:Fallback>
          <w:pict>
            <v:shape type="#_x0000_t202" id="文本框 2" o:spid="_x0000_s2" filled="f" stroked="f" strokeweight="0.5pt" style="position:absolute;margin-left:-72.30002pt;margin-top:-781.82355pt;width:55.726547pt;height:20.289047pt;z-index:30;mso-position-horizontal:outside;mso-position-horizontal-relative:margin;mso-position-vertical:absolute;mso-wrap-style:none;">
              <v:stroke color="#000000"/>
              <v:textbox id="851" inset="0mm,0mm,0mm,0mm" o:insetmode="custom" style="layout-flow:horizontal;v-text-anchor:top;mso-fit-shape-to-text:t;">
                <w:txbxContent>
                  <w:p>
                    <w:pPr>
                      <w:pStyle w:val="28"/>
                      <w:tabs>
                        <w:tab w:val="clear" w:pos="4153"/>
                        <w:tab w:val="clear" w:pos="8306"/>
                        <w:tab w:val="center" w:pos="4153"/>
                        <w:tab w:val="right" w:pos="8306"/>
                      </w:tabs>
                      <w:rPr>
                        <w:rFonts w:ascii="宋体" w:eastAsia="宋体" w:cs="宋体" w:hAnsi="宋体" w:hint="eastAsia"/>
                        <w:sz w:val="28"/>
                        <w:szCs w:val="28"/>
                      </w:rPr>
                    </w:pPr>
                    <w:r>
                      <w:rPr>
                        <w:rFonts w:ascii="宋体" w:eastAsia="宋体" w:cs="宋体" w:hAnsi="宋体" w:hint="eastAsia"/>
                        <w:sz w:val="28"/>
                        <w:szCs w:val="28"/>
                      </w:rPr>
                      <w:t xml:space="preserve">— </w:t>
                    </w:r>
                    <w:r>
                      <w:rPr>
                        <w:rFonts w:ascii="宋体" w:eastAsia="宋体" w:cs="宋体" w:hAnsi="宋体" w:hint="eastAsia"/>
                        <w:sz w:val="28"/>
                        <w:szCs w:val="28"/>
                      </w:rPr>
                      <w:fldChar w:fldCharType="begin"/>
                    </w:r>
                    <w:r>
                      <w:rPr>
                        <w:rFonts w:ascii="宋体" w:eastAsia="宋体" w:cs="宋体" w:hAnsi="宋体" w:hint="eastAsia"/>
                        <w:sz w:val="28"/>
                        <w:szCs w:val="28"/>
                      </w:rPr>
                      <w:instrText xml:space="preserve"> PAGE  \* MERGEFORMAT </w:instrText>
                    </w:r>
                    <w:r>
                      <w:rPr>
                        <w:rFonts w:ascii="宋体" w:eastAsia="宋体" w:cs="宋体" w:hAnsi="宋体" w:hint="eastAsia"/>
                        <w:sz w:val="28"/>
                        <w:szCs w:val="28"/>
                      </w:rPr>
                      <w:fldChar w:fldCharType="separate"/>
                    </w:r>
                    <w:r>
                      <w:rPr>
                        <w:rFonts w:ascii="宋体" w:eastAsia="宋体" w:cs="宋体" w:hAnsi="宋体" w:hint="eastAsia"/>
                        <w:sz w:val="28"/>
                        <w:szCs w:val="28"/>
                      </w:rPr>
                      <w:t>1</w:t>
                    </w:r>
                    <w:r>
                      <w:rPr>
                        <w:rFonts w:ascii="宋体" w:eastAsia="宋体" w:cs="宋体" w:hAnsi="宋体" w:hint="eastAsia"/>
                        <w:sz w:val="28"/>
                        <w:szCs w:val="28"/>
                      </w:rPr>
                      <w:fldChar w:fldCharType="end"/>
                    </w:r>
                    <w:r>
                      <w:rPr>
                        <w:rFonts w:ascii="宋体" w:eastAsia="宋体" w:cs="宋体" w:hAnsi="宋体" w:hint="eastAsia"/>
                        <w:sz w:val="28"/>
                        <w:szCs w:val="28"/>
                      </w:rPr>
                      <w:t xml:space="preserve"> —</w:t>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8"/>
      <w:framePr w:w="0" w:hRule="auto" w:wrap="around" w:vAnchor="text" w:hAnchor="margin" w:xAlign="center" w:y="1" w:anchorLock="0"/>
      <w:tabs>
        <w:tab w:val="clear" w:pos="4153"/>
        <w:tab w:val="clear" w:pos="8306"/>
        <w:tab w:val="center" w:pos="4153"/>
        <w:tab w:val="right" w:pos="8306"/>
      </w:tabs>
      <w:rPr>
        <w:rStyle w:val="41"/>
      </w:rPr>
    </w:pPr>
    <w:r>
      <w:rPr>
        <w:rStyle w:val="41"/>
      </w:rPr>
      <w:fldChar w:fldCharType="begin"/>
    </w:r>
    <w:r>
      <w:rPr>
        <w:rStyle w:val="41"/>
      </w:rPr>
      <w:instrText xml:space="preserve"> PAGE </w:instrText>
    </w:r>
    <w:r>
      <w:rPr>
        <w:rStyle w:val="41"/>
      </w:rPr>
      <w:fldChar w:fldCharType="separate"/>
    </w:r>
    <w:r>
      <w:rPr>
        <w:rStyle w:val="41"/>
      </w:rPr>
      <w:t>7</w:t>
    </w:r>
    <w:r>
      <w:rPr>
        <w:rStyle w:val="41"/>
      </w:rPr>
      <w:fldChar w:fldCharType="end"/>
    </w:r>
  </w:p>
  <w:p>
    <w:pPr>
      <w:pStyle w:val="28"/>
      <w:tabs>
        <w:tab w:val="clear" w:pos="4153"/>
        <w:tab w:val="clear" w:pos="8306"/>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efaultTabStop w:val="420"/>
  <w:drawingGridHorizontalSpacing w:val="210"/>
  <w:drawingGridVerticalSpacing w:val="194"/>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doNotSuppressIndentation/>
    <w:splitPgBreakAndParaMark/>
    <w:autofitToFirstFixedWidthCell/>
    <w:doNotVertAlignCellWithSp/>
    <w:compatSetting w:name="compatibilityMode" w:uri="http://schemas.microsoft.com/office/word" w:val="11"/>
  </w:compat>
  <m:mathPr>
    <m:mathFont m:val="Cambria Math"/>
    <m:brkBin m:val="before"/>
    <m:brkBinSub m:val="--"/>
    <m:smallFrac/>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jc w:val="both"/>
    </w:pPr>
    <w:rPr>
      <w:rFonts w:ascii="Arial" w:eastAsia="微软雅黑" w:cs="Times New Roman" w:hAnsi="Arial"/>
      <w:kern w:val="2"/>
      <w:sz w:val="21"/>
      <w:szCs w:val="24"/>
      <w:lang w:val="en-US" w:eastAsia="zh-CN" w:bidi="ar-SA"/>
    </w:rPr>
  </w:style>
  <w:style w:type="paragraph" w:styleId="1">
    <w:name w:val="heading 1"/>
    <w:qFormat/>
    <w:basedOn w:val="0"/>
    <w:next w:val="0"/>
    <w:link w:val="1Char"/>
    <w:pPr>
      <w:keepNext/>
      <w:keepLines/>
      <w:spacing w:before="260" w:after="220"/>
      <w:outlineLvl w:val="0"/>
    </w:pPr>
    <w:rPr>
      <w:b/>
      <w:kern w:val="44"/>
      <w:sz w:val="36"/>
    </w:rPr>
  </w:style>
  <w:style w:type="character" w:customStyle="1" w:styleId="1Char">
    <w:name w:val="heading 1 Char"/>
    <w:basedOn w:val="10"/>
    <w:link w:val="1"/>
    <w:rPr>
      <w:rFonts w:ascii="Arial" w:eastAsia="微软雅黑" w:cs="Times New Roman" w:hAnsi="Arial"/>
      <w:b/>
      <w:kern w:val="44"/>
      <w:sz w:val="36"/>
      <w:szCs w:val="24"/>
      <w:lang w:val="en-US" w:eastAsia="zh-CN" w:bidi="ar-SA"/>
    </w:rPr>
  </w:style>
  <w:style w:type="paragraph" w:styleId="2">
    <w:name w:val="heading 2"/>
    <w:qFormat/>
    <w:basedOn w:val="0"/>
    <w:next w:val="0"/>
    <w:link w:val="2Char"/>
    <w:pPr>
      <w:keepNext/>
      <w:keepLines/>
      <w:spacing w:before="260" w:after="200"/>
      <w:outlineLvl w:val="1"/>
    </w:pPr>
    <w:rPr>
      <w:b/>
      <w:sz w:val="32"/>
    </w:rPr>
  </w:style>
  <w:style w:type="character" w:customStyle="1" w:styleId="2Char">
    <w:name w:val="heading 2 Char"/>
    <w:basedOn w:val="10"/>
    <w:link w:val="2"/>
    <w:rPr>
      <w:rFonts w:ascii="Arial" w:eastAsia="微软雅黑" w:cs="Times New Roman" w:hAnsi="Arial"/>
      <w:b/>
      <w:kern w:val="2"/>
      <w:sz w:val="32"/>
      <w:szCs w:val="24"/>
      <w:lang w:val="en-US" w:eastAsia="zh-CN" w:bidi="ar-SA"/>
    </w:rPr>
  </w:style>
  <w:style w:type="paragraph" w:styleId="3">
    <w:name w:val="heading 3"/>
    <w:qFormat/>
    <w:basedOn w:val="0"/>
    <w:next w:val="0"/>
    <w:link w:val="3Char"/>
    <w:pPr>
      <w:keepNext/>
      <w:keepLines/>
      <w:spacing w:before="260" w:after="180"/>
      <w:outlineLvl w:val="2"/>
    </w:pPr>
    <w:rPr>
      <w:b/>
      <w:sz w:val="30"/>
    </w:rPr>
  </w:style>
  <w:style w:type="character" w:customStyle="1" w:styleId="3Char">
    <w:name w:val="heading 3 Char"/>
    <w:basedOn w:val="10"/>
    <w:link w:val="3"/>
    <w:rPr>
      <w:rFonts w:ascii="Arial" w:eastAsia="微软雅黑" w:cs="Times New Roman" w:hAnsi="Arial"/>
      <w:b/>
      <w:kern w:val="2"/>
      <w:sz w:val="30"/>
      <w:szCs w:val="24"/>
      <w:lang w:val="en-US" w:eastAsia="zh-CN" w:bidi="ar-SA"/>
    </w:rPr>
  </w:style>
  <w:style w:type="paragraph" w:styleId="4">
    <w:name w:val="heading 4"/>
    <w:qFormat/>
    <w:basedOn w:val="0"/>
    <w:next w:val="0"/>
    <w:link w:val="4Char"/>
    <w:pPr>
      <w:keepNext/>
      <w:keepLines/>
      <w:spacing w:before="240" w:after="160"/>
      <w:outlineLvl w:val="3"/>
    </w:pPr>
    <w:rPr>
      <w:b/>
      <w:sz w:val="28"/>
    </w:rPr>
  </w:style>
  <w:style w:type="character" w:customStyle="1" w:styleId="4Char">
    <w:name w:val="heading 4 Char"/>
    <w:basedOn w:val="10"/>
    <w:link w:val="4"/>
    <w:rPr>
      <w:rFonts w:ascii="Arial" w:eastAsia="微软雅黑" w:cs="Times New Roman" w:hAnsi="Arial"/>
      <w:b/>
      <w:kern w:val="2"/>
      <w:sz w:val="28"/>
      <w:szCs w:val="24"/>
      <w:lang w:val="en-US" w:eastAsia="zh-CN" w:bidi="ar-SA"/>
    </w:rPr>
  </w:style>
  <w:style w:type="paragraph" w:styleId="5">
    <w:name w:val="heading 5"/>
    <w:qFormat/>
    <w:basedOn w:val="0"/>
    <w:next w:val="0"/>
    <w:link w:val="5Char"/>
    <w:pPr>
      <w:keepNext/>
      <w:keepLines/>
      <w:spacing w:before="240" w:after="160"/>
      <w:outlineLvl w:val="4"/>
    </w:pPr>
    <w:rPr>
      <w:b/>
      <w:sz w:val="28"/>
    </w:rPr>
  </w:style>
  <w:style w:type="character" w:customStyle="1" w:styleId="5Char">
    <w:name w:val="heading 5 Char"/>
    <w:basedOn w:val="10"/>
    <w:link w:val="5"/>
    <w:rPr>
      <w:rFonts w:ascii="Arial" w:eastAsia="微软雅黑" w:cs="Times New Roman" w:hAnsi="Arial"/>
      <w:b/>
      <w:kern w:val="2"/>
      <w:sz w:val="28"/>
      <w:szCs w:val="24"/>
      <w:lang w:val="en-US" w:eastAsia="zh-CN" w:bidi="ar-SA"/>
    </w:rPr>
  </w:style>
  <w:style w:type="paragraph" w:styleId="6">
    <w:name w:val="heading 6"/>
    <w:qFormat/>
    <w:basedOn w:val="0"/>
    <w:next w:val="0"/>
    <w:link w:val="6Char"/>
    <w:pPr>
      <w:keepNext/>
      <w:keepLines/>
      <w:spacing w:before="240" w:after="120"/>
      <w:outlineLvl w:val="5"/>
    </w:pPr>
    <w:rPr>
      <w:b/>
      <w:sz w:val="24"/>
    </w:rPr>
  </w:style>
  <w:style w:type="character" w:customStyle="1" w:styleId="6Char">
    <w:name w:val="heading 6 Char"/>
    <w:basedOn w:val="10"/>
    <w:link w:val="6"/>
    <w:rPr>
      <w:rFonts w:ascii="Arial" w:eastAsia="微软雅黑" w:cs="Times New Roman" w:hAnsi="Arial"/>
      <w:b/>
      <w:kern w:val="2"/>
      <w:sz w:val="24"/>
      <w:szCs w:val="24"/>
      <w:lang w:val="en-US" w:eastAsia="zh-CN" w:bidi="ar-SA"/>
    </w:rPr>
  </w:style>
  <w:style w:type="paragraph" w:styleId="7">
    <w:name w:val="heading 7"/>
    <w:qFormat/>
    <w:basedOn w:val="0"/>
    <w:next w:val="0"/>
    <w:link w:val="7Char"/>
    <w:pPr>
      <w:keepNext/>
      <w:keepLines/>
      <w:spacing w:before="240" w:after="120"/>
      <w:outlineLvl w:val="6"/>
    </w:pPr>
    <w:rPr>
      <w:b/>
      <w:sz w:val="24"/>
    </w:rPr>
  </w:style>
  <w:style w:type="character" w:customStyle="1" w:styleId="7Char">
    <w:name w:val="heading 7 Char"/>
    <w:basedOn w:val="10"/>
    <w:link w:val="7"/>
    <w:rPr>
      <w:rFonts w:ascii="Arial" w:eastAsia="微软雅黑" w:cs="Times New Roman" w:hAnsi="Arial"/>
      <w:b/>
      <w:kern w:val="2"/>
      <w:sz w:val="24"/>
      <w:szCs w:val="24"/>
      <w:lang w:val="en-US" w:eastAsia="zh-CN" w:bidi="ar-SA"/>
    </w:rPr>
  </w:style>
  <w:style w:type="paragraph" w:styleId="8">
    <w:name w:val="heading 8"/>
    <w:qFormat/>
    <w:basedOn w:val="0"/>
    <w:next w:val="0"/>
    <w:link w:val="8Char"/>
    <w:pPr>
      <w:keepNext/>
      <w:keepLines/>
      <w:spacing w:before="180" w:after="64"/>
      <w:outlineLvl w:val="7"/>
    </w:pPr>
    <w:rPr>
      <w:sz w:val="24"/>
    </w:rPr>
  </w:style>
  <w:style w:type="character" w:customStyle="1" w:styleId="8Char">
    <w:name w:val="heading 8 Char"/>
    <w:basedOn w:val="10"/>
    <w:link w:val="8"/>
    <w:rPr>
      <w:rFonts w:ascii="Arial" w:eastAsia="微软雅黑" w:cs="Times New Roman" w:hAnsi="Arial"/>
      <w:kern w:val="2"/>
      <w:sz w:val="24"/>
      <w:szCs w:val="24"/>
      <w:lang w:val="en-US" w:eastAsia="zh-CN" w:bidi="ar-SA"/>
    </w:rPr>
  </w:style>
  <w:style w:type="paragraph" w:styleId="9">
    <w:name w:val="heading 9"/>
    <w:qFormat/>
    <w:basedOn w:val="0"/>
    <w:next w:val="0"/>
    <w:link w:val="9Char"/>
    <w:pPr>
      <w:keepNext/>
      <w:keepLines/>
      <w:spacing w:before="180" w:after="64"/>
      <w:outlineLvl w:val="8"/>
    </w:pPr>
  </w:style>
  <w:style w:type="character" w:customStyle="1" w:styleId="9Char">
    <w:name w:val="heading 9 Char"/>
    <w:basedOn w:val="10"/>
    <w:link w:val="9"/>
    <w:rPr>
      <w:rFonts w:ascii="Arial" w:eastAsia="微软雅黑" w:cs="Times New Roman" w:hAnsi="Arial"/>
      <w:kern w:val="2"/>
      <w:sz w:val="21"/>
      <w:szCs w:val="24"/>
      <w:lang w:val="en-US" w:eastAsia="zh-CN" w:bidi="ar-SA"/>
    </w:rPr>
  </w:style>
  <w:style w:type="character" w:default="1" w:styleId="10">
    <w:name w:val="Default Paragraph Font"/>
    <w:qFormat/>
  </w:style>
  <w:style w:type="paragraph" w:styleId="17">
    <w:name w:val="toc 7"/>
    <w:qFormat/>
    <w:basedOn w:val="0"/>
    <w:next w:val="0"/>
    <w:pPr>
      <w:ind w:left="1260"/>
      <w:jc w:val="left"/>
    </w:pPr>
    <w:rPr>
      <w:rFonts w:ascii="Calibri" w:cs="Calibri" w:hAnsi="Calibri"/>
      <w:sz w:val="18"/>
      <w:szCs w:val="18"/>
    </w:rPr>
  </w:style>
  <w:style w:type="paragraph" w:styleId="18">
    <w:name w:val="annotation text"/>
    <w:qFormat/>
    <w:basedOn w:val="0"/>
    <w:pPr>
      <w:jc w:val="left"/>
    </w:pPr>
  </w:style>
  <w:style w:type="paragraph" w:styleId="20">
    <w:name w:val="Body Text"/>
    <w:qFormat/>
    <w:basedOn w:val="0"/>
    <w:rPr>
      <w:rFonts w:ascii="Times New Roman" w:eastAsia="宋体" w:hAnsi="Times New Roman"/>
      <w:kern w:val="0"/>
      <w:sz w:val="24"/>
    </w:rPr>
  </w:style>
  <w:style w:type="paragraph" w:styleId="22">
    <w:name w:val="Body Text Indent"/>
    <w:qFormat/>
    <w:basedOn w:val="0"/>
    <w:pPr>
      <w:spacing w:after="120"/>
      <w:ind w:leftChars="200" w:left="200"/>
    </w:pPr>
  </w:style>
  <w:style w:type="paragraph" w:styleId="24">
    <w:name w:val="Block Text"/>
    <w:qFormat/>
    <w:basedOn w:val="20"/>
    <w:next w:val="20"/>
    <w:pPr>
      <w:spacing w:before="100" w:after="100"/>
      <w:ind w:left="480" w:right="480" w:firstLine="0"/>
    </w:pPr>
  </w:style>
  <w:style w:type="paragraph" w:styleId="25">
    <w:name w:val="toc 5"/>
    <w:qFormat/>
    <w:basedOn w:val="0"/>
    <w:next w:val="0"/>
    <w:pPr>
      <w:ind w:left="840"/>
      <w:jc w:val="left"/>
    </w:pPr>
    <w:rPr>
      <w:rFonts w:ascii="Calibri" w:cs="Calibri" w:hAnsi="Calibri"/>
      <w:sz w:val="18"/>
      <w:szCs w:val="18"/>
    </w:rPr>
  </w:style>
  <w:style w:type="paragraph" w:styleId="26">
    <w:name w:val="toc 3"/>
    <w:qFormat/>
    <w:basedOn w:val="0"/>
    <w:next w:val="0"/>
    <w:pPr>
      <w:ind w:left="420"/>
      <w:jc w:val="left"/>
    </w:pPr>
    <w:rPr>
      <w:rFonts w:ascii="Calibri" w:cs="Calibri" w:hAnsi="Calibri"/>
      <w:i/>
      <w:iCs/>
      <w:sz w:val="20"/>
      <w:szCs w:val="20"/>
    </w:rPr>
  </w:style>
  <w:style w:type="paragraph" w:styleId="27">
    <w:name w:val="toc 8"/>
    <w:qFormat/>
    <w:basedOn w:val="0"/>
    <w:next w:val="0"/>
    <w:pPr>
      <w:ind w:left="1470"/>
      <w:jc w:val="left"/>
    </w:pPr>
    <w:rPr>
      <w:rFonts w:ascii="Calibri" w:cs="Calibri" w:hAnsi="Calibri"/>
      <w:sz w:val="18"/>
      <w:szCs w:val="18"/>
    </w:rPr>
  </w:style>
  <w:style w:type="paragraph" w:styleId="28">
    <w:name w:val="footer"/>
    <w:qFormat/>
    <w:basedOn w:val="0"/>
    <w:pPr>
      <w:tabs>
        <w:tab w:val="center" w:pos="4153"/>
        <w:tab w:val="right" w:pos="8306"/>
      </w:tabs>
      <w:snapToGrid w:val="0"/>
      <w:jc w:val="left"/>
    </w:pPr>
    <w:rPr>
      <w:sz w:val="18"/>
      <w:szCs w:val="18"/>
    </w:rPr>
  </w:style>
  <w:style w:type="paragraph" w:styleId="29">
    <w:name w:val="header"/>
    <w:qFormat/>
    <w:basedOn w:val="0"/>
    <w:pPr>
      <w:tabs>
        <w:tab w:val="center" w:pos="4153"/>
        <w:tab w:val="right" w:pos="8306"/>
      </w:tabs>
      <w:snapToGrid w:val="0"/>
      <w:jc w:val="center"/>
    </w:pPr>
    <w:rPr>
      <w:sz w:val="18"/>
      <w:szCs w:val="18"/>
    </w:rPr>
  </w:style>
  <w:style w:type="paragraph" w:styleId="31">
    <w:name w:val="toc 1"/>
    <w:qFormat/>
    <w:basedOn w:val="0"/>
    <w:next w:val="0"/>
    <w:pPr>
      <w:spacing w:before="120" w:after="120"/>
      <w:jc w:val="left"/>
    </w:pPr>
    <w:rPr>
      <w:rFonts w:ascii="Calibri" w:cs="Calibri" w:hAnsi="Calibri"/>
      <w:b/>
      <w:bCs/>
      <w:caps/>
      <w:smallCaps w:val="0"/>
      <w:sz w:val="20"/>
      <w:szCs w:val="20"/>
    </w:rPr>
  </w:style>
  <w:style w:type="paragraph" w:styleId="32">
    <w:name w:val="toc 4"/>
    <w:qFormat/>
    <w:basedOn w:val="0"/>
    <w:next w:val="0"/>
    <w:pPr>
      <w:ind w:left="630"/>
      <w:jc w:val="left"/>
    </w:pPr>
    <w:rPr>
      <w:rFonts w:ascii="Calibri" w:cs="Calibri" w:hAnsi="Calibri"/>
      <w:sz w:val="18"/>
      <w:szCs w:val="18"/>
    </w:rPr>
  </w:style>
  <w:style w:type="paragraph" w:styleId="33">
    <w:name w:val="toc 6"/>
    <w:qFormat/>
    <w:basedOn w:val="0"/>
    <w:next w:val="0"/>
    <w:pPr>
      <w:ind w:left="1050"/>
      <w:jc w:val="left"/>
    </w:pPr>
    <w:rPr>
      <w:rFonts w:ascii="Calibri" w:cs="Calibri" w:hAnsi="Calibri"/>
      <w:sz w:val="18"/>
      <w:szCs w:val="18"/>
    </w:rPr>
  </w:style>
  <w:style w:type="paragraph" w:styleId="34">
    <w:name w:val="toc 2"/>
    <w:qFormat/>
    <w:basedOn w:val="0"/>
    <w:next w:val="0"/>
    <w:pPr>
      <w:ind w:left="210"/>
      <w:jc w:val="left"/>
    </w:pPr>
    <w:rPr>
      <w:rFonts w:ascii="Calibri" w:cs="Calibri" w:hAnsi="Calibri"/>
      <w:caps w:val="0"/>
      <w:smallCaps/>
      <w:sz w:val="20"/>
      <w:szCs w:val="20"/>
    </w:rPr>
  </w:style>
  <w:style w:type="paragraph" w:styleId="35">
    <w:name w:val="toc 9"/>
    <w:qFormat/>
    <w:basedOn w:val="0"/>
    <w:next w:val="0"/>
    <w:pPr>
      <w:ind w:left="1680"/>
      <w:jc w:val="left"/>
    </w:pPr>
    <w:rPr>
      <w:rFonts w:ascii="Calibri" w:cs="Calibri" w:hAnsi="Calibri"/>
      <w:sz w:val="18"/>
      <w:szCs w:val="18"/>
    </w:rPr>
  </w:style>
  <w:style w:type="paragraph" w:styleId="36">
    <w:name w:val="Normal (Web)"/>
    <w:qFormat/>
    <w:basedOn w:val="0"/>
    <w:rPr>
      <w:sz w:val="24"/>
    </w:rPr>
  </w:style>
  <w:style w:type="paragraph" w:styleId="38">
    <w:name w:val="Body Text First Indent 2"/>
    <w:qFormat/>
    <w:basedOn w:val="22"/>
    <w:pPr>
      <w:ind w:firstLineChars="200" w:firstLine="200"/>
    </w:pPr>
    <w:rPr>
      <w:rFonts w:ascii="黑体" w:eastAsia="宋体" w:hAnsi="宋体"/>
      <w:color w:val="000000"/>
    </w:rPr>
  </w:style>
  <w:style w:type="character" w:styleId="41">
    <w:name w:val="page number"/>
    <w:qFormat/>
    <w:basedOn w:val="10"/>
  </w:style>
  <w:style w:type="character" w:styleId="42">
    <w:name w:val="Hyperlink"/>
    <w:qFormat/>
    <w:basedOn w:val="10"/>
    <w:rPr>
      <w:color w:val="0000FF"/>
      <w:u w:val="single"/>
    </w:rPr>
  </w:style>
  <w:style w:type="paragraph" w:customStyle="1" w:yozoId="4094" w:styleId="43">
    <w:name w:val="Char"/>
    <w:qFormat/>
    <w:basedOn w:val="0"/>
    <w:rPr>
      <w:rFonts w:eastAsia="仿宋_GB2312" w:cs="Arial"/>
      <w:sz w:val="20"/>
      <w:szCs w:val="20"/>
    </w:rPr>
  </w:style>
  <w:style w:type="paragraph" w:customStyle="1" w:yozoId="4094" w:styleId="44">
    <w:name w:val="Normal Indent1"/>
    <w:qFormat/>
    <w:basedOn w:val="0"/>
    <w:pPr>
      <w:widowControl/>
      <w:overflowPunct w:val="0"/>
      <w:autoSpaceDE w:val="0"/>
      <w:autoSpaceDN w:val="0"/>
      <w:adjustRightInd w:val="0"/>
      <w:spacing w:line="360" w:lineRule="auto"/>
      <w:ind w:firstLineChars="200" w:firstLine="200"/>
    </w:pPr>
    <w:rPr>
      <w:rFonts w:ascii="宋体" w:eastAsia="宋体" w:hAnsi="Calibri"/>
      <w:kern w:val="0"/>
      <w:szCs w:val="21"/>
    </w:rPr>
  </w:style>
  <w:style w:type="character" w:customStyle="1" w:yozoId="4094" w:styleId="45">
    <w:name w:val="font41"/>
    <w:qFormat/>
    <w:basedOn w:val="10"/>
    <w:rPr>
      <w:rFonts w:ascii="Arial" w:cs="Arial" w:hAnsi="Arial"/>
      <w:b/>
      <w:bCs/>
      <w:color w:val="000000"/>
      <w:sz w:val="18"/>
      <w:szCs w:val="18"/>
      <w:u w:val="none"/>
    </w:rPr>
  </w:style>
  <w:style w:type="paragraph" w:styleId="46">
    <w:name w:val="List Paragraph"/>
    <w:qFormat/>
    <w:basedOn w:val="0"/>
    <w:pPr>
      <w:ind w:firstLineChars="200" w:firstLine="200"/>
    </w:pPr>
  </w:style>
  <w:style w:type="paragraph" w:customStyle="1" w:yozoId="4094" w:styleId="48">
    <w:name w:val="1正文"/>
    <w:qFormat/>
    <w:basedOn w:val="0"/>
    <w:pPr>
      <w:spacing w:line="360" w:lineRule="auto"/>
      <w:ind w:firstLineChars="200" w:firstLine="200"/>
    </w:pPr>
    <w:rPr>
      <w:rFonts w:ascii="宋体" w:eastAsia="宋体" w:hAnsi="宋体"/>
      <w:sz w:val="24"/>
    </w:rPr>
  </w:style>
  <w:style w:type="paragraph" w:customStyle="1" w:yozoId="4094" w:styleId="50">
    <w:name w:val="50"/>
    <w:qFormat/>
    <w:basedOn w:val="0"/>
    <w:pPr>
      <w:widowControl/>
      <w:spacing w:before="100" w:beforeAutospacing="1" w:after="100" w:afterAutospacing="1"/>
      <w:jc w:val="left"/>
    </w:pPr>
    <w:rPr>
      <w:rFonts w:ascii="宋体" w:eastAsia="宋体" w:cs="宋体" w:hAnsi="宋体"/>
      <w:kern w:val="0"/>
      <w:sz w:val="24"/>
    </w:rPr>
  </w:style>
  <w:style w:type="paragraph" w:customStyle="1" w:yozoId="4094" w:styleId="51">
    <w:name w:val="正文（绿盟科技）"/>
    <w:qFormat/>
    <w:pPr>
      <w:spacing w:line="300" w:lineRule="auto"/>
    </w:pPr>
    <w:rPr>
      <w:rFonts w:ascii="Arial" w:eastAsia="宋体" w:cs="Times New Roman" w:hAnsi="Arial"/>
      <w:sz w:val="21"/>
      <w:szCs w:val="21"/>
      <w:lang w:val="en-US" w:eastAsia="zh-CN" w:bidi="ar-SA"/>
    </w:rPr>
  </w:style>
  <w:style w:type="paragraph" w:customStyle="1" w:yozoId="4094" w:styleId="52">
    <w:name w:val="样式  + 首行缩进:  2 字符"/>
    <w:qFormat/>
    <w:basedOn w:val="53"/>
    <w:next w:val="0"/>
    <w:pPr>
      <w:adjustRightInd w:val="0"/>
      <w:snapToGrid w:val="0"/>
      <w:spacing w:line="360" w:lineRule="auto"/>
      <w:ind w:firstLineChars="200" w:firstLine="200"/>
    </w:pPr>
    <w:rPr>
      <w:rFonts w:ascii="宋体" w:eastAsia="宋体" w:hAnsi="宋体"/>
      <w:snapToGrid w:val="0"/>
      <w:spacing w:val="11"/>
      <w:sz w:val="24"/>
    </w:rPr>
  </w:style>
  <w:style w:type="paragraph" w:customStyle="1" w:yozoId="4094" w:styleId="53">
    <w:name w:val="样式+首行缩进2字符"/>
    <w:qFormat/>
    <w:basedOn w:val="0"/>
    <w:pPr>
      <w:ind w:firstLine="480"/>
    </w:pPr>
  </w:style>
  <w:style w:type="character" w:customStyle="1" w:yozoId="4094" w:styleId="55">
    <w:name w:val="qk-md-text"/>
    <w:qFormat/>
    <w:basedOn w:val="10"/>
  </w:style>
  <w:style w:type="paragraph" w:customStyle="1" w:yozoId="4094" w:styleId="56">
    <w:name w:val="62"/>
    <w:qFormat/>
    <w:basedOn w:val="0"/>
    <w:pPr>
      <w:widowControl/>
      <w:spacing w:before="100" w:beforeAutospacing="1" w:after="100" w:afterAutospacing="1"/>
      <w:jc w:val="left"/>
    </w:pPr>
    <w:rPr>
      <w:rFonts w:ascii="宋体" w:eastAsia="宋体" w:cs="宋体" w:hAnsi="宋体"/>
      <w:kern w:val="0"/>
      <w:sz w:val="24"/>
    </w:rPr>
  </w:style>
  <w:style w:type="paragraph" w:customStyle="1" w:yozoId="4094" w:styleId="57">
    <w:name w:val="Compact"/>
    <w:qFormat/>
    <w:basedOn w:val="20"/>
    <w:pPr>
      <w:spacing w:before="36" w:after="36"/>
    </w:pPr>
  </w:style>
  <w:style w:type="character" w:customStyle="1" w:yozoId="4094" w:styleId="59">
    <w:name w:val="s1"/>
    <w:qFormat/>
    <w:basedOn w:val="10"/>
    <w:rPr>
      <w:rFonts w:ascii="Helvetica Neue" w:eastAsia="Helvetica Neue" w:cs="Helvetica Neue" w:hAnsi="Helvetica Neue"/>
      <w:sz w:val="26"/>
      <w:szCs w:val="26"/>
    </w:rPr>
  </w:style>
  <w:style w:type="paragraph" w:customStyle="1" w:yozoId="4094" w:styleId="60">
    <w:name w:val="p1"/>
    <w:qFormat/>
    <w:basedOn w:val="0"/>
    <w:pPr>
      <w:spacing w:before="0" w:beforeAutospacing="0" w:after="0" w:afterAutospacing="0"/>
      <w:ind w:left="0" w:right="0"/>
      <w:jc w:val="left"/>
    </w:pPr>
    <w:rPr>
      <w:rFonts w:ascii="PingFang SC" w:eastAsia="PingFang SC" w:cs="PingFang SC" w:hAnsi="PingFang SC"/>
      <w:kern w:val="0"/>
      <w:sz w:val="26"/>
      <w:szCs w:val="26"/>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3.png"/><Relationship Id="rId5" Type="http://schemas.openxmlformats.org/officeDocument/2006/relationships/image" Target="media/5.jpg"/><Relationship Id="rId6" Type="http://schemas.openxmlformats.org/officeDocument/2006/relationships/image" Target="media/7.png"/><Relationship Id="rId7" Type="http://schemas.openxmlformats.org/officeDocument/2006/relationships/image" Target="media/9.png"/><Relationship Id="rId8" Type="http://schemas.openxmlformats.org/officeDocument/2006/relationships/image" Target="media/11.png"/><Relationship Id="rId9" Type="http://schemas.openxmlformats.org/officeDocument/2006/relationships/image" Target="media/13.png"/><Relationship Id="rId10" Type="http://schemas.openxmlformats.org/officeDocument/2006/relationships/styles" Target="styles.xml"/><Relationship Id="rId11" Type="http://schemas.openxmlformats.org/officeDocument/2006/relationships/fontTable" Target="fontTable.xml"/><Relationship Id="rId12" Type="http://schemas.openxmlformats.org/officeDocument/2006/relationships/customXml" Target="../customXml/item1.xml"/><Relationship Id="rId13"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b"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C4A1C056-A4E6-4BA7-9D2F-8632663AE516}">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14135282</TotalTime>
  <Application>WPS_Yozo_Office9.0.7803.141ZH.S1</Application>
  <Pages>39</Pages>
  <Words>0</Words>
  <Characters>13350</Characters>
  <Lines>0</Lines>
  <Paragraphs>337</Paragraphs>
  <CharactersWithSpaces>17801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28552</dc:creator>
  <cp:lastModifiedBy>nt2208005</cp:lastModifiedBy>
  <cp:revision>58</cp:revision>
  <dcterms:created xsi:type="dcterms:W3CDTF">2026-07-26T18:09:00Z</dcterms:created>
  <dcterms:modified xsi:type="dcterms:W3CDTF">2026-08-11T02:39:18Z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2052-12.1.2.24730</vt:lpwstr>
  </property>
  <property fmtid="{D5CDD505-2E9C-101B-9397-08002B2CF9AE}" pid="4" name="woTemplate">
    <vt:i4>0</vt:i4>
  </property>
  <property fmtid="{D5CDD505-2E9C-101B-9397-08002B2CF9AE}" pid="5" name="ICV">
    <vt:lpwstr>A20BD66653E40E686B72686AF4BAA477_43</vt:lpwstr>
  </property>
  <property fmtid="{D5CDD505-2E9C-101B-9397-08002B2CF9AE}" pid="6" name="KSOTemplateDocerSaveRecord">
    <vt:lpwstr>eyJoZGlkIjoiMTJlZDE1ODU2NDQ4MzU5Y2MxYWI5NjM3YTdkZTFkY2UiLCJ1c2VySWQiOiIyODAxMTU1NjkifQ==</vt:lpwstr>
  </property>
</Properties>
</file>