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body>
    <w:p>
      <w:pPr>
        <w:spacing w:beforeAutospacing="0" w:afterAutospacing="0" w:line="640" w:lineRule="exact"/>
        <w:jc w:val="center"/>
        <w:rPr>
          <w:rFonts w:ascii="Times New Roman" w:eastAsia="方正小标宋_GBK" w:cs="Times New Roman" w:hAnsi="Times New Roman"/>
          <w:sz w:val="44"/>
          <w:szCs w:val="44"/>
        </w:rPr>
      </w:pPr>
      <w:r>
        <w:rPr>
          <w:rFonts w:ascii="Times New Roman" w:eastAsia="方正小标宋_GBK" w:cs="Times New Roman" w:hAnsi="Times New Roman"/>
          <w:sz w:val="44"/>
          <w:szCs w:val="44"/>
        </w:rPr>
        <w:t>项目报价表</w:t>
      </w:r>
    </w:p>
    <w:tbl>
      <w:tblPr>
        <w:jc w:val="center"/>
        <w:tblW w:w="537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1254"/>
        <w:gridCol w:w="1874"/>
        <w:gridCol w:w="6031"/>
        <w:gridCol w:w="826"/>
        <w:gridCol w:w="806"/>
        <w:gridCol w:w="796"/>
        <w:gridCol w:w="816"/>
        <w:gridCol w:w="852"/>
      </w:tblGrid>
      <w:tr>
        <w:trPr>
          <w:trHeight w:val="600"/>
        </w:trPr>
        <w:tc>
          <w:tcPr>
            <w:tcW w:w="5000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left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  <w:lang w:eastAsia="zh-CN"/>
              </w:rPr>
              <w:t>项目名称：重庆市农业投资集团有限公司数智化管控系统——供应链业财一体化系统</w:t>
            </w:r>
          </w:p>
        </w:tc>
      </w:tr>
      <w:tr>
        <w:trPr>
          <w:trHeight w:val="600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  <w:t>费用类别</w:t>
            </w: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  <w:t>项目说明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方正仿宋_GBK" w:eastAsia="方正仿宋_GBK" w:cs="方正仿宋_GBK" w:hAnsi="方正仿宋_GBK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  <w:t>单价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  <w:t>(元)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方正仿宋_GBK" w:eastAsia="方正仿宋_GBK" w:cs="方正仿宋_GBK" w:hAnsi="方正仿宋_GBK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  <w:t>小计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  <w:t>(元)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  <w:t>备注</w:t>
            </w:r>
          </w:p>
        </w:tc>
      </w:tr>
      <w:tr>
        <w:trPr>
          <w:trHeight w:val="1086"/>
        </w:trPr>
        <w:tc>
          <w:tcPr>
            <w:tcW w:w="3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  <w:t>产品费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  <w:t>（含成品套装软件及用户授权费用）</w:t>
            </w: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  <w:t>供应链管理模块</w:t>
            </w:r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  <w:t>包含但不限于采购管理、销售管理、库存管理、移动供应链管理、客商管理、合同管理、数据分析管理等满足建设要求所需的模块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  <w:t>套</w:t>
            </w:r>
          </w:p>
        </w:tc>
        <w:tc>
          <w:tcPr>
            <w:tcW w:w="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</w:p>
        </w:tc>
      </w:tr>
      <w:tr>
        <w:trPr>
          <w:trHeight w:val="975"/>
        </w:trPr>
        <w:tc>
          <w:tcPr>
            <w:tcW w:w="29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40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/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  <w:t>财务模块</w:t>
            </w:r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  <w:t>包含但不限于对账和结算管理、应收管理、应付管理、存货核算、总账管理、资金付款、资金收款、异常处理、产品成本核算等满足建设要求所需的模块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  <w:t>套</w:t>
            </w:r>
          </w:p>
        </w:tc>
        <w:tc>
          <w:tcPr>
            <w:tcW w:w="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</w:p>
        </w:tc>
      </w:tr>
      <w:tr>
        <w:trPr>
          <w:trHeight w:val="550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  <w:t>系统实施费</w:t>
            </w: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  <w:t>系统实施</w:t>
            </w:r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  <w:t>包含但不限于需求调研与蓝图方案规划、环境部署、系统配置、用</w:t>
            </w:r>
            <w:bookmarkStart w:id="0" w:name="_GoBack"/>
            <w:bookmarkEnd w:id="0"/>
            <w:r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  <w:t>户培训、历史数据迁移、上线支持等实施服务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  <w:t>项</w:t>
            </w:r>
          </w:p>
        </w:tc>
        <w:tc>
          <w:tcPr>
            <w:tcW w:w="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</w:p>
        </w:tc>
      </w:tr>
      <w:tr>
        <w:trPr>
          <w:trHeight w:val="480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  <w:t>开发费用</w:t>
            </w: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  <w:t>定制功能开发</w:t>
            </w:r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  <w:t>个性化业务功能定制开发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  <w:t>人天</w:t>
            </w:r>
          </w:p>
        </w:tc>
        <w:tc>
          <w:tcPr>
            <w:tcW w:w="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</w:p>
        </w:tc>
      </w:tr>
      <w:tr>
        <w:trPr>
          <w:trHeight w:val="480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  <w:t>集成费用</w:t>
            </w: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  <w:t>第三方系统集成</w:t>
            </w:r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  <w:t>第三方系统集成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  <w:t>项</w:t>
            </w:r>
          </w:p>
        </w:tc>
        <w:tc>
          <w:tcPr>
            <w:tcW w:w="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</w:p>
        </w:tc>
      </w:tr>
      <w:tr>
        <w:trPr>
          <w:trHeight w:val="740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  <w:t>基础设施费用</w:t>
            </w:r>
          </w:p>
        </w:tc>
        <w:tc>
          <w:tcPr>
            <w:tcW w:w="6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  <w:t>服务器</w:t>
            </w:r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  <w:t>包含但不限于服务器、数据库服务器测试数据库、国产数据库、中间件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  <w:t>台/年</w:t>
            </w:r>
          </w:p>
        </w:tc>
        <w:tc>
          <w:tcPr>
            <w:tcW w:w="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</w:p>
        </w:tc>
      </w:tr>
      <w:tr>
        <w:trPr>
          <w:trHeight w:val="436"/>
        </w:trPr>
        <w:tc>
          <w:tcPr>
            <w:tcW w:w="441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right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  <w:t>合计（含税）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</w:p>
        </w:tc>
      </w:tr>
      <w:tr>
        <w:trPr>
          <w:trHeight w:val="392"/>
        </w:trPr>
        <w:tc>
          <w:tcPr>
            <w:tcW w:w="441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right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  <w:t>增值税（</w:t>
            </w:r>
            <w:r>
              <w:rPr>
                <w:rFonts w:ascii="方正仿宋_GBK" w:eastAsia="方正仿宋_GBK" w:cs="方正仿宋_GBK" w:hAnsi="方正仿宋_GBK"/>
                <w:b w:val="0"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  <w:t>%）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</w:p>
        </w:tc>
      </w:tr>
      <w:tr>
        <w:trPr>
          <w:trHeight w:val="435"/>
        </w:trPr>
        <w:tc>
          <w:tcPr>
            <w:tcW w:w="5000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textAlignment w:val="auto"/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cs="方正仿宋_GBK" w:hAnsi="方正仿宋_GBK" w:hint="eastAsia"/>
                <w:b w:val="0"/>
                <w:bCs/>
                <w:color w:val="000000"/>
                <w:sz w:val="24"/>
                <w:szCs w:val="24"/>
              </w:rPr>
              <w:t>备注:报价包含本项目需要的产品、实施、开发、集成、培训及私有化部署系统所需的基础设施等所有费用。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eastAsia="方正仿宋_GBK" w:cs="Times New Roman" w:hAnsi="Times New Roman"/>
          <w:sz w:val="32"/>
          <w:szCs w:val="32"/>
        </w:rPr>
      </w:pPr>
    </w:p>
    <w:sectPr>
      <w:pgSz w:w="15840" w:h="12240" w:orient="landscape"/>
      <w:pgMar w:top="1984" w:right="1446" w:bottom="1644" w:left="1446" w:header="720" w:footer="720" w:gutter="0"/>
      <w:pgNumType/>
      <w:cols w:num="1" w:space="425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00007A87" w:usb1="80000000" w:usb2="00000008" w:usb3="00000000" w:csb0="400001FF" w:csb1="FFFF0000"/>
  </w:font>
  <w:font w:name="方正小标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variable"/>
    <w:sig w:usb0="00000001" w:usb1="08000000" w:usb2="00000000" w:usb3="00000000" w:csb0="00040000" w:csb1="00000000"/>
  </w:font>
  <w:font w:name="宋体">
    <w:altName w:val="国标黑体"/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altName w:val="Times New Roman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黑体">
    <w:altName w:val="国标黑体"/>
    <w:panose1 w:val="02000000000000000000"/>
    <w:charset w:val="86"/>
    <w:family w:val="script"/>
    <w:pitch w:val="variable"/>
    <w:sig w:usb0="A00002BF" w:usb1="38CF7CFA" w:usb2="00082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47"/>
  <w:bordersDoNotSurroundHeader/>
  <w:bordersDoNotSurroundFooter/>
  <w:defaultTabStop w:val="420"/>
  <w:drawingGridHorizontalSpacing w:val="18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doNotUseIndentAsNumberingTabStop/>
    <w:useAltKinsokuLineBreakRules/>
    <w:doNotSuppressIndentation/>
    <w:splitPgBreakAndParaMark/>
    <w:autofitToFirstFixedWidthCell/>
    <w:doNotVertAlignCellWithSp/>
    <w:compatSetting w:name="compatibilityMode" w:uri="http://schemas.microsoft.com/office/word" w:val="11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doNotIncludeSubdocsInStat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qFormat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styleId="1">
    <w:name w:val="heading 1"/>
    <w:qFormat/>
    <w:basedOn w:val="0"/>
    <w:next w:val="0"/>
    <w:link w:val="1Char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1Char">
    <w:name w:val="heading 1 Char"/>
    <w:basedOn w:val="10"/>
    <w:link w:val="1"/>
    <w:rPr>
      <w:rFonts w:ascii="Calibri" w:eastAsia="宋体" w:cs="Times New Roman" w:hAnsi="Calibri"/>
      <w:b/>
      <w:bCs/>
      <w:kern w:val="44"/>
      <w:sz w:val="44"/>
      <w:szCs w:val="44"/>
      <w:lang w:val="en-US" w:eastAsia="zh-CN" w:bidi="ar-SA"/>
    </w:rPr>
  </w:style>
  <w:style w:type="paragraph" w:styleId="2">
    <w:name w:val="heading 2"/>
    <w:qFormat/>
    <w:basedOn w:val="0"/>
    <w:next w:val="0"/>
    <w:link w:val="2Char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character" w:customStyle="1" w:styleId="2Char">
    <w:name w:val="heading 2 Char"/>
    <w:basedOn w:val="10"/>
    <w:link w:val="2"/>
    <w:rPr>
      <w:rFonts w:ascii="Times New Roman" w:eastAsia="黑体" w:cs="Times New Roman" w:hAnsi="Times New Roman"/>
      <w:b/>
      <w:bCs/>
      <w:kern w:val="2"/>
      <w:sz w:val="32"/>
      <w:szCs w:val="32"/>
      <w:lang w:val="en-US" w:eastAsia="zh-CN" w:bidi="ar-SA"/>
    </w:rPr>
  </w:style>
  <w:style w:type="paragraph" w:styleId="3">
    <w:name w:val="heading 3"/>
    <w:qFormat/>
    <w:basedOn w:val="0"/>
    <w:next w:val="0"/>
    <w:link w:val="3Char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customStyle="1" w:styleId="3Char">
    <w:name w:val="heading 3 Char"/>
    <w:basedOn w:val="10"/>
    <w:link w:val="3"/>
    <w:rPr>
      <w:rFonts w:ascii="Calibri" w:eastAsia="宋体" w:cs="Times New Roman" w:hAnsi="Calibri"/>
      <w:b/>
      <w:bCs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qFormat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mpd="sng" cap="flat">
          <a:solidFill>
            <a:schemeClr val="phClr"/>
          </a:solidFill>
          <a:prstDash val="solid"/>
          <a:miter/>
        </a:ln>
        <a:ln w="12700" cmpd="sng" cap="flat">
          <a:solidFill>
            <a:schemeClr val="phClr"/>
          </a:solidFill>
          <a:prstDash val="solid"/>
          <a:miter/>
        </a:ln>
        <a:ln w="19050" cmpd="sng" cap="flat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algn="b" rotWithShape="0" blurRad="57150" dist="19050" dir="540000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50 1 1 1 1 1"/>
    <sectPr/>
  </customProps>
</customData>
</file>

<file path=customXml/itemProps1.xml><?xml version="1.0" encoding="utf-8"?>
<ds:datastoreItem xmlns:ds="http://schemas.openxmlformats.org/officeDocument/2006/customXml" ds:itemID="{6E213D80-2B4E-4D1E-A397-FD96AEB47D9B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14147235</TotalTime>
  <Application>WPS_Yozo_Office9.0.7803.141ZH.S1</Application>
  <Pages>1</Pages>
  <Words>0</Words>
  <Characters>395</Characters>
  <Lines>0</Lines>
  <Paragraphs>3</Paragraphs>
  <CharactersWithSpaces>527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ntjt01</dc:creator>
  <cp:lastModifiedBy>nt2208005</cp:lastModifiedBy>
  <cp:revision>2</cp:revision>
  <dcterms:created xsi:type="dcterms:W3CDTF">2026-08-11T01:40:00Z</dcterms:created>
  <dcterms:modified xsi:type="dcterms:W3CDTF">2026-08-11T02:53:32Z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2052-12.1.2.24730</vt:lpwstr>
  </property>
  <property fmtid="{D5CDD505-2E9C-101B-9397-08002B2CF9AE}" pid="3" name="ICV">
    <vt:lpwstr>DAE91FB088B8D266347E7A6ACE200453_42</vt:lpwstr>
  </property>
</Properties>
</file>